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5C" w:rsidRPr="00847EDF" w:rsidRDefault="00B1215C" w:rsidP="00B1215C">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r>
        <w:rPr>
          <w:rFonts w:ascii="Times New Roman" w:eastAsia="宋体" w:hAnsi="Times New Roman" w:cs="Times New Roman"/>
          <w:color w:val="000000"/>
          <w:sz w:val="28"/>
          <w:szCs w:val="28"/>
        </w:rPr>
        <w:t xml:space="preserve">Attachment </w:t>
      </w:r>
      <w:r w:rsidRPr="00847EDF">
        <w:rPr>
          <w:rFonts w:ascii="Times New Roman" w:eastAsia="等线" w:hAnsi="Times New Roman" w:cs="Times New Roman"/>
          <w:bCs/>
          <w:color w:val="333333"/>
          <w:kern w:val="0"/>
          <w:sz w:val="32"/>
          <w:szCs w:val="32"/>
          <w:shd w:val="clear" w:color="auto" w:fill="FFFFFF"/>
        </w:rPr>
        <w:t>4</w:t>
      </w:r>
    </w:p>
    <w:p w:rsidR="00B1215C" w:rsidRPr="00847EDF" w:rsidRDefault="00B1215C" w:rsidP="00B1215C">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p>
    <w:p w:rsidR="00B1215C" w:rsidRPr="00847EDF" w:rsidRDefault="00B1215C" w:rsidP="00B1215C">
      <w:pPr>
        <w:widowControl/>
        <w:shd w:val="clear" w:color="auto" w:fill="FFFFFF"/>
        <w:adjustRightInd w:val="0"/>
        <w:snapToGrid w:val="0"/>
        <w:spacing w:line="360" w:lineRule="auto"/>
        <w:jc w:val="center"/>
        <w:rPr>
          <w:rFonts w:ascii="Times New Roman" w:eastAsia="宋体" w:hAnsi="Times New Roman" w:cs="Times New Roman"/>
          <w:b/>
          <w:bCs/>
          <w:color w:val="000000"/>
          <w:kern w:val="0"/>
          <w:sz w:val="28"/>
          <w:szCs w:val="28"/>
        </w:rPr>
      </w:pPr>
      <w:r w:rsidRPr="00847EDF">
        <w:rPr>
          <w:rFonts w:ascii="Times New Roman" w:eastAsia="宋体" w:hAnsi="Times New Roman" w:cs="Times New Roman"/>
          <w:b/>
          <w:bCs/>
          <w:color w:val="000000"/>
          <w:kern w:val="0"/>
          <w:sz w:val="28"/>
          <w:szCs w:val="28"/>
        </w:rPr>
        <w:t>Detailed Rules of Polyvinyl Chloride Futures of Dalian Commodity Exchange (Amendment)</w:t>
      </w:r>
    </w:p>
    <w:p w:rsidR="00B1215C" w:rsidRPr="00847EDF" w:rsidRDefault="00B1215C" w:rsidP="00B1215C">
      <w:pPr>
        <w:widowControl/>
        <w:spacing w:before="200" w:line="288" w:lineRule="auto"/>
        <w:outlineLvl w:val="0"/>
        <w:rPr>
          <w:rFonts w:ascii="Times New Roman" w:eastAsia="宋体" w:hAnsi="Times New Roman" w:cs="Times New Roman"/>
          <w:color w:val="000000"/>
          <w:spacing w:val="2"/>
          <w:sz w:val="24"/>
        </w:rPr>
      </w:pPr>
    </w:p>
    <w:p w:rsidR="00B1215C" w:rsidRPr="00847EDF" w:rsidRDefault="00B1215C" w:rsidP="00B1215C">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Article 10 The minimum tick size of the polyvinyl chloride futures contract is </w:t>
      </w:r>
      <w:r w:rsidRPr="00847EDF">
        <w:rPr>
          <w:rFonts w:ascii="Times New Roman" w:eastAsia="宋体" w:hAnsi="Times New Roman" w:cs="Times New Roman"/>
          <w:color w:val="333333"/>
          <w:kern w:val="0"/>
          <w:sz w:val="28"/>
          <w:szCs w:val="28"/>
          <w:shd w:val="pct15" w:color="auto" w:fill="FFFFFF"/>
        </w:rPr>
        <w:t>1</w:t>
      </w:r>
      <w:r w:rsidRPr="00847EDF">
        <w:rPr>
          <w:rFonts w:ascii="Times New Roman" w:eastAsia="宋体" w:hAnsi="Times New Roman" w:cs="Times New Roman"/>
          <w:dstrike/>
          <w:color w:val="333333"/>
          <w:kern w:val="0"/>
          <w:sz w:val="28"/>
          <w:szCs w:val="28"/>
        </w:rPr>
        <w:t>5</w:t>
      </w:r>
      <w:r w:rsidRPr="00847EDF">
        <w:rPr>
          <w:rFonts w:ascii="Times New Roman" w:eastAsia="宋体" w:hAnsi="Times New Roman" w:cs="Times New Roman"/>
          <w:sz w:val="28"/>
          <w:szCs w:val="28"/>
        </w:rPr>
        <w:t xml:space="preserve"> CNY/MT.</w:t>
      </w:r>
    </w:p>
    <w:p w:rsidR="00B1215C" w:rsidRPr="00847EDF" w:rsidRDefault="00B1215C" w:rsidP="00B1215C">
      <w:pPr>
        <w:widowControl/>
        <w:spacing w:before="200" w:line="288" w:lineRule="auto"/>
        <w:outlineLvl w:val="0"/>
        <w:rPr>
          <w:rFonts w:ascii="Times New Roman" w:eastAsia="宋体" w:hAnsi="Times New Roman" w:cs="Times New Roman"/>
          <w:color w:val="000000"/>
          <w:spacing w:val="2"/>
          <w:sz w:val="24"/>
        </w:rPr>
      </w:pPr>
    </w:p>
    <w:p w:rsidR="00B1215C" w:rsidRPr="00847EDF" w:rsidRDefault="00B1215C" w:rsidP="00B1215C">
      <w:pPr>
        <w:rPr>
          <w:rFonts w:ascii="Times New Roman" w:eastAsia="宋体" w:hAnsi="Times New Roman" w:cs="Times New Roman"/>
          <w:szCs w:val="21"/>
        </w:rPr>
      </w:pPr>
      <w:r w:rsidRPr="00847EDF">
        <w:rPr>
          <w:rFonts w:ascii="Times New Roman" w:eastAsia="宋体" w:hAnsi="Times New Roman" w:cs="Times New Roman"/>
          <w:b/>
          <w:bCs/>
          <w:i/>
          <w:iCs/>
          <w:color w:val="000000"/>
          <w:sz w:val="24"/>
        </w:rPr>
        <w:t>Note:</w:t>
      </w:r>
      <w:r w:rsidRPr="00847EDF">
        <w:rPr>
          <w:rFonts w:ascii="Times New Roman" w:eastAsia="宋体" w:hAnsi="Times New Roman" w:cs="Times New Roman"/>
          <w:i/>
          <w:iCs/>
          <w:color w:val="000000"/>
          <w:sz w:val="24"/>
        </w:rPr>
        <w:t xml:space="preserve"> Contents newly added are in shade; contents deleted are marked with double strikethrough.</w:t>
      </w:r>
    </w:p>
    <w:p w:rsidR="00B1215C" w:rsidRPr="00847EDF" w:rsidRDefault="00B1215C" w:rsidP="00B1215C">
      <w:pPr>
        <w:widowControl/>
        <w:jc w:val="left"/>
        <w:rPr>
          <w:rFonts w:ascii="Times New Roman" w:eastAsia="宋体" w:hAnsi="Times New Roman" w:cs="Times New Roman"/>
          <w:color w:val="000000"/>
          <w:spacing w:val="2"/>
          <w:sz w:val="24"/>
        </w:rPr>
      </w:pPr>
      <w:r w:rsidRPr="00847EDF">
        <w:rPr>
          <w:rFonts w:ascii="Times New Roman" w:eastAsia="宋体" w:hAnsi="Times New Roman" w:cs="Times New Roman"/>
          <w:color w:val="000000"/>
          <w:spacing w:val="2"/>
          <w:sz w:val="24"/>
        </w:rPr>
        <w:br w:type="page"/>
      </w:r>
    </w:p>
    <w:p w:rsidR="00B1215C" w:rsidRPr="00847EDF" w:rsidRDefault="00B1215C" w:rsidP="00B1215C">
      <w:pPr>
        <w:widowControl/>
        <w:shd w:val="clear" w:color="auto" w:fill="FFFFFF"/>
        <w:adjustRightInd w:val="0"/>
        <w:snapToGrid w:val="0"/>
        <w:spacing w:line="360" w:lineRule="auto"/>
        <w:jc w:val="center"/>
        <w:rPr>
          <w:rFonts w:ascii="Times New Roman" w:eastAsia="宋体" w:hAnsi="Times New Roman" w:cs="Times New Roman"/>
          <w:color w:val="000000"/>
          <w:spacing w:val="2"/>
          <w:sz w:val="24"/>
        </w:rPr>
      </w:pPr>
    </w:p>
    <w:p w:rsidR="00B1215C" w:rsidRPr="00847EDF" w:rsidRDefault="00B1215C" w:rsidP="00B1215C">
      <w:pPr>
        <w:widowControl/>
        <w:shd w:val="clear" w:color="auto" w:fill="FFFFFF"/>
        <w:adjustRightInd w:val="0"/>
        <w:snapToGrid w:val="0"/>
        <w:spacing w:line="360" w:lineRule="auto"/>
        <w:jc w:val="center"/>
        <w:rPr>
          <w:rFonts w:ascii="Times New Roman" w:eastAsia="宋体" w:hAnsi="Times New Roman" w:cs="Times New Roman"/>
          <w:b/>
          <w:bCs/>
          <w:color w:val="000000"/>
          <w:kern w:val="0"/>
          <w:sz w:val="28"/>
          <w:szCs w:val="28"/>
        </w:rPr>
      </w:pPr>
      <w:r w:rsidRPr="00847EDF">
        <w:rPr>
          <w:rFonts w:ascii="Times New Roman" w:eastAsia="宋体" w:hAnsi="Times New Roman" w:cs="Times New Roman"/>
          <w:b/>
          <w:bCs/>
          <w:color w:val="000000"/>
          <w:kern w:val="0"/>
          <w:sz w:val="28"/>
          <w:szCs w:val="28"/>
        </w:rPr>
        <w:t>Detailed Rules of Polyvinyl Chloride Futures of Dalian Commodity Exchange (Amended Version)</w:t>
      </w:r>
    </w:p>
    <w:p w:rsidR="00B1215C" w:rsidRPr="00847EDF" w:rsidRDefault="00B1215C" w:rsidP="00B1215C">
      <w:pPr>
        <w:widowControl/>
        <w:shd w:val="clear" w:color="auto" w:fill="FFFFFF"/>
        <w:adjustRightInd w:val="0"/>
        <w:snapToGrid w:val="0"/>
        <w:spacing w:line="360" w:lineRule="auto"/>
        <w:jc w:val="center"/>
        <w:rPr>
          <w:rFonts w:ascii="Times New Roman" w:eastAsia="宋体" w:hAnsi="Times New Roman" w:cs="Times New Roman"/>
          <w:b/>
          <w:bCs/>
          <w:color w:val="000000"/>
          <w:kern w:val="0"/>
          <w:sz w:val="28"/>
          <w:szCs w:val="28"/>
        </w:rPr>
      </w:pPr>
    </w:p>
    <w:p w:rsidR="00B1215C" w:rsidRPr="00847EDF" w:rsidRDefault="00B1215C" w:rsidP="00B1215C">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 General Provisions</w:t>
      </w:r>
    </w:p>
    <w:p w:rsidR="00B1215C" w:rsidRPr="00847EDF" w:rsidRDefault="00B1215C" w:rsidP="00B1215C">
      <w:pPr>
        <w:numPr>
          <w:ilvl w:val="0"/>
          <w:numId w:val="1"/>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The Detailed Rules of Polyvinyl Chloride Futures of Dalian Commodity Exchange (the "</w:t>
      </w:r>
      <w:r w:rsidRPr="00847EDF">
        <w:rPr>
          <w:rFonts w:ascii="Times New Roman" w:eastAsia="宋体" w:hAnsi="Times New Roman" w:cs="Times New Roman"/>
          <w:b/>
          <w:bCs/>
          <w:sz w:val="28"/>
          <w:szCs w:val="28"/>
        </w:rPr>
        <w:t>Detailed Rules</w:t>
      </w:r>
      <w:r w:rsidRPr="00847EDF">
        <w:rPr>
          <w:rFonts w:ascii="Times New Roman" w:eastAsia="宋体" w:hAnsi="Times New Roman" w:cs="Times New Roman"/>
          <w:sz w:val="28"/>
          <w:szCs w:val="28"/>
        </w:rPr>
        <w:t xml:space="preserve">") are formulated pursuant to the </w:t>
      </w:r>
      <w:r w:rsidRPr="00847EDF">
        <w:rPr>
          <w:rFonts w:ascii="Times New Roman" w:eastAsia="宋体" w:hAnsi="Times New Roman" w:cs="Times New Roman"/>
          <w:i/>
          <w:iCs/>
          <w:sz w:val="28"/>
          <w:szCs w:val="28"/>
        </w:rPr>
        <w:t>Trading Rules of Dalian Commodity Exchange</w:t>
      </w:r>
      <w:r w:rsidRPr="00847EDF">
        <w:rPr>
          <w:rFonts w:ascii="Times New Roman" w:eastAsia="宋体" w:hAnsi="Times New Roman" w:cs="Times New Roman"/>
          <w:sz w:val="28"/>
          <w:szCs w:val="28"/>
        </w:rPr>
        <w:t xml:space="preserve"> and the </w:t>
      </w:r>
      <w:r w:rsidRPr="00847EDF">
        <w:rPr>
          <w:rFonts w:ascii="Times New Roman" w:eastAsia="宋体" w:hAnsi="Times New Roman" w:cs="Times New Roman"/>
          <w:i/>
          <w:iCs/>
          <w:sz w:val="28"/>
          <w:szCs w:val="28"/>
        </w:rPr>
        <w:t xml:space="preserve">PVC Futures Contract of Dalian Commodity Exchange </w:t>
      </w:r>
      <w:r w:rsidRPr="00847EDF">
        <w:rPr>
          <w:rFonts w:ascii="Times New Roman" w:eastAsia="宋体" w:hAnsi="Times New Roman" w:cs="Times New Roman"/>
          <w:sz w:val="28"/>
          <w:szCs w:val="28"/>
        </w:rPr>
        <w:t>for the purpose of standardizing the trading of polyvinyl chloride futures contracts.</w:t>
      </w:r>
    </w:p>
    <w:p w:rsidR="00B1215C" w:rsidRPr="00847EDF" w:rsidRDefault="00B1215C" w:rsidP="00B1215C">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Dalian Commodity Exchange (the "</w:t>
      </w:r>
      <w:r w:rsidRPr="00847EDF">
        <w:rPr>
          <w:rFonts w:ascii="Times New Roman" w:eastAsia="宋体" w:hAnsi="Times New Roman" w:cs="Times New Roman"/>
          <w:b/>
          <w:bCs/>
          <w:sz w:val="28"/>
          <w:szCs w:val="28"/>
        </w:rPr>
        <w:t>Exchange</w:t>
      </w:r>
      <w:r w:rsidRPr="00847EDF">
        <w:rPr>
          <w:rFonts w:ascii="Times New Roman" w:eastAsia="宋体" w:hAnsi="Times New Roman" w:cs="Times New Roman"/>
          <w:sz w:val="28"/>
          <w:szCs w:val="28"/>
        </w:rPr>
        <w:t>"), its Members, the clients, the designated delivery warehouses, the designated quality inspection agencies, the designated futures margin depositary banks and other participants in the futures market shall comply with the Detailed Rules.</w:t>
      </w:r>
    </w:p>
    <w:p w:rsidR="00B1215C" w:rsidRPr="00847EDF" w:rsidRDefault="00B1215C" w:rsidP="00B1215C">
      <w:pPr>
        <w:numPr>
          <w:ilvl w:val="0"/>
          <w:numId w:val="1"/>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Where it is not provided in the Detailed Rules, the relevant rules of the Exchange shall apply.</w:t>
      </w:r>
    </w:p>
    <w:p w:rsidR="00B1215C" w:rsidRPr="00847EDF" w:rsidRDefault="00B1215C" w:rsidP="00B1215C">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II  Principle Terms of the Contract and Relevant Parameters</w:t>
      </w:r>
    </w:p>
    <w:p w:rsidR="00B1215C" w:rsidRPr="00847EDF" w:rsidRDefault="00B1215C" w:rsidP="00B1215C">
      <w:pPr>
        <w:numPr>
          <w:ilvl w:val="0"/>
          <w:numId w:val="1"/>
        </w:numPr>
        <w:adjustRightInd w:val="0"/>
        <w:snapToGrid w:val="0"/>
        <w:spacing w:line="360" w:lineRule="auto"/>
        <w:ind w:left="1259" w:hanging="1259"/>
        <w:rPr>
          <w:rFonts w:ascii="Times New Roman" w:eastAsia="宋体" w:hAnsi="Times New Roman" w:cs="Times New Roman"/>
          <w:sz w:val="28"/>
          <w:szCs w:val="28"/>
        </w:rPr>
      </w:pPr>
      <w:bookmarkStart w:id="0" w:name="OLE_LINK7"/>
      <w:bookmarkStart w:id="1" w:name="OLE_LINK8"/>
      <w:bookmarkEnd w:id="0"/>
      <w:r w:rsidRPr="00847EDF">
        <w:rPr>
          <w:rFonts w:ascii="Times New Roman" w:eastAsia="宋体" w:hAnsi="Times New Roman" w:cs="Times New Roman"/>
          <w:sz w:val="28"/>
          <w:szCs w:val="28"/>
        </w:rPr>
        <w:t>The standard deliverable products under the polyvinyl chloride futures contract shall be the Grade I product of SG5 type which satisfies the national standards of the Suspension Polyvinyl Chloride Resins of General Purpose (GB/T 5761-2018)</w:t>
      </w:r>
      <w:bookmarkEnd w:id="1"/>
      <w:r w:rsidRPr="00847EDF">
        <w:rPr>
          <w:rFonts w:ascii="Times New Roman" w:eastAsia="宋体" w:hAnsi="Times New Roman" w:cs="Times New Roman"/>
          <w:color w:val="000000"/>
          <w:sz w:val="28"/>
          <w:szCs w:val="28"/>
        </w:rPr>
        <w:t xml:space="preserve"> (no requirements for the powder flowability)</w:t>
      </w:r>
      <w:r w:rsidRPr="00847EDF">
        <w:rPr>
          <w:rFonts w:ascii="Times New Roman" w:eastAsia="宋体" w:hAnsi="Times New Roman" w:cs="Times New Roman"/>
          <w:sz w:val="28"/>
          <w:szCs w:val="28"/>
        </w:rPr>
        <w:t>. High grade products are permitted to be delivered as the substitute products; and there shall be no premiums and/or discounts in grade between the high grade products and Grade I products.</w:t>
      </w:r>
    </w:p>
    <w:p w:rsidR="00B1215C" w:rsidRPr="00847EDF" w:rsidRDefault="00B1215C" w:rsidP="00B1215C">
      <w:pPr>
        <w:adjustRightInd w:val="0"/>
        <w:snapToGrid w:val="0"/>
        <w:spacing w:line="360" w:lineRule="auto"/>
        <w:ind w:leftChars="607" w:left="1275"/>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The delivery products of the polyvinyl chloride shall be those of the delivery registration brands and produced by the manufacturers</w:t>
      </w:r>
      <w:r w:rsidRPr="00847EDF">
        <w:rPr>
          <w:rFonts w:ascii="Times New Roman" w:eastAsia="宋体" w:hAnsi="Times New Roman" w:cs="Times New Roman"/>
          <w:dstrike/>
          <w:sz w:val="28"/>
          <w:szCs w:val="28"/>
        </w:rPr>
        <w:t xml:space="preserve"> </w:t>
      </w:r>
      <w:r w:rsidRPr="00847EDF">
        <w:rPr>
          <w:rFonts w:ascii="Times New Roman" w:eastAsia="宋体" w:hAnsi="Times New Roman" w:cs="Times New Roman"/>
          <w:sz w:val="28"/>
          <w:szCs w:val="28"/>
        </w:rPr>
        <w:t>announced by the Exchange. Brands which satisfy the conditions prescribed by the Exchange may apply for qualification of inspection-exempted registration brands. The rules for management of delivery registration brands and inspection-exempted registration brands will be separately prescribed by the Exchange. The delivery registration brands, the inspection-exempted registration brands, the relevant manufacturers and the brand premiums and/or discounts shall be separately published by the Exchange.</w:t>
      </w:r>
    </w:p>
    <w:p w:rsidR="00B1215C" w:rsidRPr="00847EDF" w:rsidRDefault="00B1215C" w:rsidP="00B1215C">
      <w:pPr>
        <w:adjustRightInd w:val="0"/>
        <w:snapToGrid w:val="0"/>
        <w:spacing w:line="360" w:lineRule="auto"/>
        <w:ind w:leftChars="607" w:left="1275"/>
        <w:rPr>
          <w:rFonts w:ascii="Times New Roman" w:eastAsia="宋体" w:hAnsi="Times New Roman" w:cs="Times New Roman"/>
          <w:sz w:val="28"/>
          <w:szCs w:val="28"/>
        </w:rPr>
      </w:pPr>
      <w:r w:rsidRPr="00847EDF">
        <w:rPr>
          <w:rFonts w:ascii="Times New Roman" w:eastAsia="宋体" w:hAnsi="Times New Roman" w:cs="Times New Roman"/>
          <w:sz w:val="28"/>
          <w:szCs w:val="28"/>
        </w:rPr>
        <w:t>The differences of the polyvinyl chloride futures contract's brand discounts and/or premiums shall be settled between the owner and the designated delivery warehouse.</w:t>
      </w:r>
    </w:p>
    <w:p w:rsidR="00B1215C" w:rsidRPr="00847EDF" w:rsidRDefault="00B1215C" w:rsidP="00B1215C">
      <w:pPr>
        <w:adjustRightInd w:val="0"/>
        <w:snapToGrid w:val="0"/>
        <w:spacing w:line="360" w:lineRule="auto"/>
        <w:ind w:leftChars="607" w:left="1275"/>
        <w:rPr>
          <w:rFonts w:ascii="Times New Roman" w:eastAsia="宋体" w:hAnsi="Times New Roman" w:cs="Times New Roman"/>
          <w:sz w:val="28"/>
          <w:szCs w:val="28"/>
        </w:rPr>
      </w:pPr>
      <w:r w:rsidRPr="00847EDF">
        <w:rPr>
          <w:rFonts w:ascii="Times New Roman" w:eastAsia="宋体" w:hAnsi="Times New Roman" w:cs="Times New Roman"/>
          <w:sz w:val="28"/>
          <w:szCs w:val="28"/>
        </w:rPr>
        <w:t>The polyvinyl chloride of the inspection-exempted registration brands may be exempted from the quality inspection when loaded in the warehouse in case the owner is capable to provide the originals of the product quality certificates issued by the manufacturers and other materials required by the Exchange.</w:t>
      </w:r>
    </w:p>
    <w:p w:rsidR="00B1215C" w:rsidRPr="00847EDF" w:rsidRDefault="00B1215C" w:rsidP="00B1215C">
      <w:pPr>
        <w:adjustRightInd w:val="0"/>
        <w:snapToGrid w:val="0"/>
        <w:spacing w:line="360" w:lineRule="auto"/>
        <w:ind w:leftChars="607" w:left="1275"/>
        <w:rPr>
          <w:rFonts w:ascii="Times New Roman" w:eastAsia="宋体" w:hAnsi="Times New Roman" w:cs="Times New Roman"/>
          <w:sz w:val="28"/>
          <w:szCs w:val="28"/>
        </w:rPr>
      </w:pPr>
      <w:r w:rsidRPr="00847EDF">
        <w:rPr>
          <w:rFonts w:ascii="Times New Roman" w:eastAsia="宋体" w:hAnsi="Times New Roman" w:cs="Times New Roman"/>
          <w:sz w:val="28"/>
          <w:szCs w:val="28"/>
        </w:rPr>
        <w:t>The product quality certificates shall bear the manufacturer, brand, batch number, certificate issuance number, quality test item, quality test result, quality inspection conclusion and other information.</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polyvinyl chloride futures contract shall take the form of physical delivery.</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delivery warehouses designated for polyvinyl chloride shall be divided into the benchmark delivery warehouses and the non-benchmark delivery warehouses (detailed in the</w:t>
      </w:r>
      <w:r w:rsidRPr="00847EDF">
        <w:rPr>
          <w:rFonts w:ascii="Times New Roman" w:eastAsia="宋体" w:hAnsi="Times New Roman" w:cs="Times New Roman"/>
          <w:i/>
          <w:iCs/>
          <w:sz w:val="28"/>
          <w:szCs w:val="28"/>
        </w:rPr>
        <w:t xml:space="preserve"> List of Delivery </w:t>
      </w:r>
      <w:r w:rsidRPr="00847EDF">
        <w:rPr>
          <w:rFonts w:ascii="Times New Roman" w:eastAsia="宋体" w:hAnsi="Times New Roman" w:cs="Times New Roman"/>
          <w:i/>
          <w:iCs/>
          <w:sz w:val="28"/>
          <w:szCs w:val="28"/>
        </w:rPr>
        <w:lastRenderedPageBreak/>
        <w:t xml:space="preserve">Warehouses Designated for Polyvinyl Chloride of Dalian Commodity Exchange </w:t>
      </w:r>
      <w:r w:rsidRPr="00847EDF">
        <w:rPr>
          <w:rFonts w:ascii="Times New Roman" w:eastAsia="宋体" w:hAnsi="Times New Roman" w:cs="Times New Roman"/>
          <w:sz w:val="28"/>
          <w:szCs w:val="28"/>
        </w:rPr>
        <w:t>as Annex attached hereto), and may be adjusted by the Exchange as the case may be.</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contract months of the polyvinyl chloride futures contract are January, February, March, April, May, June, July, August, September, October, November and December.</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trading unit of the polyvinyl chloride futures contract is 5 MT/ Lot.</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price quote unit of the polyvinyl chloride futures contract is CNY/MT.</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minimum tick size of the polyvinyl chloride futures contract is 1 CNY/MT.</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maximum quantity of orders placed each time for the polyvinyl chloride futures contract shall be one thousand (1,000) lots.</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standard of trading margins, price limit range and position limit under the polyvinyl chloride futures contract shall be subject to the relevant provisions of the </w:t>
      </w:r>
      <w:r w:rsidRPr="00847EDF">
        <w:rPr>
          <w:rFonts w:ascii="Times New Roman" w:eastAsia="宋体" w:hAnsi="Times New Roman" w:cs="Times New Roman"/>
          <w:i/>
          <w:iCs/>
          <w:sz w:val="28"/>
          <w:szCs w:val="28"/>
        </w:rPr>
        <w:t>Measures for Risk Management of Dalian Commodity Exchange</w:t>
      </w:r>
      <w:r w:rsidRPr="00847EDF">
        <w:rPr>
          <w:rFonts w:ascii="Times New Roman" w:eastAsia="宋体" w:hAnsi="Times New Roman" w:cs="Times New Roman"/>
          <w:sz w:val="28"/>
          <w:szCs w:val="28"/>
        </w:rPr>
        <w:t xml:space="preserve">. </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last trading day of the polyvinyl chloride futures contract is the tenth trading day of the contract month.</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last delivery day of the polyvinyl chloride futures contract is the third trading day after the last trading day.</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ticker symbol of the polyvinyl chloride futures contract is V.</w:t>
      </w:r>
    </w:p>
    <w:p w:rsidR="00B1215C" w:rsidRPr="00847EDF" w:rsidRDefault="00B1215C" w:rsidP="00B1215C">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III  Delivery and Clearing</w:t>
      </w:r>
    </w:p>
    <w:p w:rsidR="00B1215C" w:rsidRPr="00847EDF" w:rsidRDefault="00B1215C" w:rsidP="00B1215C">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 General Provisions</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bookmarkStart w:id="2" w:name="OLE_LINK5"/>
      <w:bookmarkEnd w:id="2"/>
      <w:r w:rsidRPr="00847EDF">
        <w:rPr>
          <w:rFonts w:ascii="Times New Roman" w:eastAsia="宋体" w:hAnsi="Times New Roman" w:cs="Times New Roman"/>
          <w:sz w:val="28"/>
          <w:szCs w:val="28"/>
        </w:rPr>
        <w:t>The polyvinyl chloride futures contract shall adopt the exchange of futures for physicals (the "</w:t>
      </w:r>
      <w:r w:rsidRPr="00847EDF">
        <w:rPr>
          <w:rFonts w:ascii="Times New Roman" w:eastAsia="宋体" w:hAnsi="Times New Roman" w:cs="Times New Roman"/>
          <w:b/>
          <w:bCs/>
          <w:sz w:val="28"/>
          <w:szCs w:val="28"/>
        </w:rPr>
        <w:t>EFP</w:t>
      </w:r>
      <w:r w:rsidRPr="00847EDF">
        <w:rPr>
          <w:rFonts w:ascii="Times New Roman" w:eastAsia="宋体" w:hAnsi="Times New Roman" w:cs="Times New Roman"/>
          <w:sz w:val="28"/>
          <w:szCs w:val="28"/>
        </w:rPr>
        <w:t xml:space="preserve">") and one-off delivery, the detailed </w:t>
      </w:r>
      <w:r w:rsidRPr="00847EDF">
        <w:rPr>
          <w:rFonts w:ascii="Times New Roman" w:eastAsia="宋体" w:hAnsi="Times New Roman" w:cs="Times New Roman"/>
          <w:sz w:val="28"/>
          <w:szCs w:val="28"/>
        </w:rPr>
        <w:lastRenderedPageBreak/>
        <w:t xml:space="preserve">procedures of which are provided in the relevant provisions of the </w:t>
      </w:r>
      <w:r w:rsidRPr="00847EDF">
        <w:rPr>
          <w:rFonts w:ascii="Times New Roman" w:eastAsia="宋体" w:hAnsi="Times New Roman" w:cs="Times New Roman"/>
          <w:i/>
          <w:iCs/>
          <w:sz w:val="28"/>
          <w:szCs w:val="28"/>
        </w:rPr>
        <w:t>Measures for Delivery Management of Dalian Commodity Exchange</w:t>
      </w:r>
      <w:r w:rsidRPr="00847EDF">
        <w:rPr>
          <w:rFonts w:ascii="Times New Roman" w:eastAsia="宋体" w:hAnsi="Times New Roman" w:cs="Times New Roman"/>
          <w:sz w:val="28"/>
          <w:szCs w:val="28"/>
        </w:rPr>
        <w:t xml:space="preserve"> and the </w:t>
      </w:r>
      <w:r w:rsidRPr="00847EDF">
        <w:rPr>
          <w:rFonts w:ascii="Times New Roman" w:eastAsia="宋体" w:hAnsi="Times New Roman" w:cs="Times New Roman"/>
          <w:i/>
          <w:iCs/>
          <w:sz w:val="28"/>
          <w:szCs w:val="28"/>
        </w:rPr>
        <w:t>Measures for Clearing Management of Dalian Commodity Exchange</w:t>
      </w:r>
      <w:r w:rsidRPr="00847EDF">
        <w:rPr>
          <w:rFonts w:ascii="Times New Roman" w:eastAsia="宋体" w:hAnsi="Times New Roman" w:cs="Times New Roman"/>
          <w:sz w:val="28"/>
          <w:szCs w:val="28"/>
        </w:rPr>
        <w:t xml:space="preserve">. </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b/>
          <w:bCs/>
          <w:sz w:val="28"/>
          <w:szCs w:val="28"/>
        </w:rPr>
      </w:pPr>
      <w:r w:rsidRPr="00847EDF">
        <w:rPr>
          <w:rFonts w:ascii="Times New Roman" w:eastAsia="宋体" w:hAnsi="Times New Roman" w:cs="Times New Roman"/>
          <w:sz w:val="28"/>
          <w:szCs w:val="28"/>
        </w:rPr>
        <w:t>Standard warehouse receipt of polyvinyl chloride can be categorized into standard storage warehouse receipt and standard factory warehouse receipt.</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polyvinyl chloride delivery products shall take the packages of the original manufacturer or the packages approved by the original manufacturer. The packing sacks shall bear the trademark, the product name, the product standard number, the net weight, the manufacturer</w:t>
      </w:r>
      <w:r w:rsidRPr="00847EDF">
        <w:rPr>
          <w:rFonts w:ascii="Times New Roman" w:eastAsia="宋体" w:hAnsi="Times New Roman" w:cs="Times New Roman"/>
          <w:color w:val="000000"/>
          <w:sz w:val="28"/>
          <w:szCs w:val="28"/>
        </w:rPr>
        <w:t>'</w:t>
      </w:r>
      <w:r w:rsidRPr="00847EDF">
        <w:rPr>
          <w:rFonts w:ascii="Times New Roman" w:eastAsia="宋体" w:hAnsi="Times New Roman" w:cs="Times New Roman"/>
          <w:sz w:val="28"/>
          <w:szCs w:val="28"/>
        </w:rPr>
        <w:t>s name and address as well as the product type.</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packing materials shall be the kraft paper sacks with an internally laid plastic film bag, the polypropylene woven sacks and/or the compound sacks with the kraft paper and the polypropylene crochet, which shall procure that the package will not break and that the products therein will not be polluted, contaminated or leak during normal storage and carriage. The net content of each sack thereof shall be 25±0.25 kilograms. Each ton shall have forty (40) sacks without calculation of any more or less thereof.</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prices of the packages of the </w:t>
      </w:r>
      <w:bookmarkStart w:id="3" w:name="OLE_LINK80"/>
      <w:bookmarkStart w:id="4" w:name="OLE_LINK81"/>
      <w:bookmarkEnd w:id="3"/>
      <w:r w:rsidRPr="00847EDF">
        <w:rPr>
          <w:rFonts w:ascii="Times New Roman" w:eastAsia="宋体" w:hAnsi="Times New Roman" w:cs="Times New Roman"/>
          <w:sz w:val="28"/>
          <w:szCs w:val="28"/>
        </w:rPr>
        <w:t>polyvinyl chloride</w:t>
      </w:r>
      <w:bookmarkEnd w:id="4"/>
      <w:r w:rsidRPr="00847EDF">
        <w:rPr>
          <w:rFonts w:ascii="Times New Roman" w:eastAsia="宋体" w:hAnsi="Times New Roman" w:cs="Times New Roman"/>
          <w:sz w:val="28"/>
          <w:szCs w:val="28"/>
        </w:rPr>
        <w:t xml:space="preserve"> shall be included in the polyvinyl chloride contract price.</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dedicated VAT invoice shall be issued for delivery of polyvinyl chloride.</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delivery commissions, the sampling and inspection fees, the storage fees and other fees of Polyvinyl Chloride shall be separately </w:t>
      </w:r>
      <w:r w:rsidRPr="00847EDF">
        <w:rPr>
          <w:rFonts w:ascii="Times New Roman" w:eastAsia="宋体" w:hAnsi="Times New Roman" w:cs="Times New Roman"/>
          <w:sz w:val="28"/>
          <w:szCs w:val="28"/>
        </w:rPr>
        <w:lastRenderedPageBreak/>
        <w:t>published by the Exchange and no dissipation fees will be charged.</w:t>
      </w:r>
    </w:p>
    <w:p w:rsidR="00B1215C" w:rsidRPr="00847EDF" w:rsidRDefault="00B1215C" w:rsidP="00B1215C">
      <w:pPr>
        <w:adjustRightInd w:val="0"/>
        <w:snapToGrid w:val="0"/>
        <w:spacing w:line="360" w:lineRule="auto"/>
        <w:jc w:val="center"/>
        <w:rPr>
          <w:rFonts w:ascii="Times New Roman" w:eastAsia="宋体" w:hAnsi="Times New Roman" w:cs="Times New Roman"/>
          <w:sz w:val="28"/>
          <w:szCs w:val="28"/>
        </w:rPr>
      </w:pPr>
      <w:r w:rsidRPr="00847EDF">
        <w:rPr>
          <w:rFonts w:ascii="Times New Roman" w:eastAsia="宋体" w:hAnsi="Times New Roman" w:cs="Times New Roman"/>
          <w:sz w:val="28"/>
          <w:szCs w:val="28"/>
        </w:rPr>
        <w:t>Section II  Standard Warehouse Receipt Delivery</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w:t>
      </w:r>
      <w:r w:rsidRPr="00847EDF">
        <w:rPr>
          <w:rFonts w:ascii="Times New Roman" w:eastAsia="宋体" w:hAnsi="Times New Roman" w:cs="Times New Roman"/>
          <w:i/>
          <w:iCs/>
          <w:sz w:val="28"/>
          <w:szCs w:val="28"/>
        </w:rPr>
        <w:t>Measures for Standard Warehouse Receipt Management of Dalian Commodity Exchange</w:t>
      </w:r>
      <w:r w:rsidRPr="00847EDF">
        <w:rPr>
          <w:rFonts w:ascii="Times New Roman" w:eastAsia="宋体" w:hAnsi="Times New Roman" w:cs="Times New Roman"/>
          <w:sz w:val="28"/>
          <w:szCs w:val="28"/>
        </w:rPr>
        <w:t xml:space="preserve"> shall apply to the generation, circulation and deregistration of the standard warehouse receipts, if not provided in the Detailed Rules.</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Member shall pay the notice of intent to deliver earnest money to the Exchange as per the standard of CNY thirty (30) per ton when it handles the notice of intent to deliver.</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owner which has fully completed the notice of intent to deliver shall, before consignment, notify the designated delivery warehouse of the vehicle or vessel number, products, quantity, arrival time and other information, and the designated delivery warehouse shall reasonably arrange for receipt and loading-in of the commodities. </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designated delivery warehouse shall engage a quality inspection agency designated by the Exchange to carry out the quality inspection of the commodities to be loaded in the warehouse. The inspection fees shall be borne by the owner and shall be forwarded by the designated delivery warehouse.</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batch grouping with respect to the quality inspection shall be carried out as per the same manufacturer and the same brand, with each batch being three hundred (300) tons. The inspection shall be carried in more than one (1) batch for those of more than three hundred (300) tons, or in one (1) batch for those less than three hundred (300) tons.</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sampling and experimental methods shall be subject to the </w:t>
      </w:r>
      <w:r w:rsidRPr="00847EDF">
        <w:rPr>
          <w:rFonts w:ascii="Times New Roman" w:eastAsia="宋体" w:hAnsi="Times New Roman" w:cs="Times New Roman"/>
          <w:sz w:val="28"/>
          <w:szCs w:val="28"/>
        </w:rPr>
        <w:lastRenderedPageBreak/>
        <w:t>relevant provisions of GB/T 5761-2018.</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The quality inspection agency designated by the Exchange shall, after its completion of the quality inspection of the </w:t>
      </w:r>
      <w:bookmarkStart w:id="5" w:name="OLE_LINK82"/>
      <w:bookmarkStart w:id="6" w:name="OLE_LINK83"/>
      <w:bookmarkEnd w:id="5"/>
      <w:r w:rsidRPr="00847EDF">
        <w:rPr>
          <w:rFonts w:ascii="Times New Roman" w:eastAsia="宋体" w:hAnsi="Times New Roman" w:cs="Times New Roman"/>
          <w:sz w:val="28"/>
          <w:szCs w:val="28"/>
        </w:rPr>
        <w:t>polyvinyl chloride</w:t>
      </w:r>
      <w:bookmarkEnd w:id="6"/>
      <w:r w:rsidRPr="00847EDF">
        <w:rPr>
          <w:rFonts w:ascii="Times New Roman" w:eastAsia="宋体" w:hAnsi="Times New Roman" w:cs="Times New Roman"/>
          <w:sz w:val="28"/>
          <w:szCs w:val="28"/>
        </w:rPr>
        <w:t xml:space="preserve"> loaded in the warehouse, issue one (1) original and three (3) duplicate inspection reports; and the original shall be submitted to the designated delivery warehouse and two (2) of the duplicates shall be respectively submitted to the Exchange and the owner.</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designated delivery warehouse shall carry out, subject to the applicable provisions of the Exchange, inspection of the manufacturer, brand, quality, packaging and the relevant materials and certificates of the polyvinyl chloride which has been loaded in the warehouse.</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Upon registration of the futures standard warehouse receipt of the polyvinyl chloride, the owner shall provide the photocopies of the corresponding dedicated VAT invoices, and the designated delivery warehouse shall verify the sources of the goods.</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receiving and consigning quantity of the polyvinyl chloride shall be subject to the checking by the designated delivery warehouse.</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With respect to the domestically manufactured polyvinyl chloride, the period of the date of the application for registration of the standard warehouse receipt from the manufacturing date of the commodities shall not exceed one hundred and twenty (120) calendar days.</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With respect to the overseas manufactured polyvinyl chloride, the period of the date of the application for registration the standard warehouse receipt from the import date in the Imported Goods </w:t>
      </w:r>
      <w:r w:rsidRPr="00847EDF">
        <w:rPr>
          <w:rFonts w:ascii="Times New Roman" w:eastAsia="宋体" w:hAnsi="Times New Roman" w:cs="Times New Roman"/>
          <w:sz w:val="28"/>
          <w:szCs w:val="28"/>
        </w:rPr>
        <w:lastRenderedPageBreak/>
        <w:t>Customs Clearance Form (or the entry day in the Entering Goods Recording List) shall not exceed one hundred and twenty (120) calendar days.</w:t>
      </w:r>
    </w:p>
    <w:p w:rsidR="00B1215C" w:rsidRPr="00847EDF" w:rsidRDefault="00B1215C" w:rsidP="00B1215C">
      <w:pPr>
        <w:numPr>
          <w:ilvl w:val="0"/>
          <w:numId w:val="2"/>
        </w:numPr>
        <w:adjustRightInd w:val="0"/>
        <w:snapToGrid w:val="0"/>
        <w:spacing w:line="360" w:lineRule="auto"/>
        <w:ind w:left="1259" w:hanging="1259"/>
        <w:rPr>
          <w:rFonts w:ascii="Times New Roman" w:eastAsia="宋体" w:hAnsi="Times New Roman" w:cs="Times New Roman"/>
          <w:sz w:val="28"/>
          <w:szCs w:val="28"/>
        </w:rPr>
      </w:pPr>
      <w:r w:rsidRPr="00847EDF">
        <w:rPr>
          <w:rFonts w:ascii="Times New Roman" w:eastAsia="宋体" w:hAnsi="Times New Roman" w:cs="Times New Roman"/>
          <w:sz w:val="28"/>
          <w:szCs w:val="28"/>
        </w:rPr>
        <w:t>The deregistration of the standard warehouse receipt shall be carried out against the standard warehouse receipts of the polyvinyl chloride prior to the last trading day of each March.</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When the polyvinyl chloride is loaded out of the storage warehouse, the owner which holds the Notice to Load Out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the deregistration of the standard warehouse receipt.</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When the polyvinyl chloride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deregistration of the standard warehouse receipt (exclusive of the deregistration day).</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When the polyvinyl chloride is loaded out of the factory warehouse, the factory warehouse shall draw samples under the owner's supervision, and the samples shall be sealed upon confirmation of both parties and shall be preserved for thirty (30) calendar days following the consignment day as the basis for handling any quality dispute.</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B1215C" w:rsidRPr="00847EDF" w:rsidRDefault="00B1215C" w:rsidP="00B1215C">
      <w:pPr>
        <w:numPr>
          <w:ilvl w:val="0"/>
          <w:numId w:val="3"/>
        </w:numPr>
        <w:adjustRightInd w:val="0"/>
        <w:snapToGrid w:val="0"/>
        <w:spacing w:line="360" w:lineRule="auto"/>
        <w:ind w:left="1843" w:hanging="584"/>
        <w:rPr>
          <w:rFonts w:ascii="Times New Roman" w:eastAsia="宋体" w:hAnsi="Times New Roman" w:cs="Times New Roman"/>
          <w:sz w:val="28"/>
          <w:szCs w:val="28"/>
        </w:rPr>
      </w:pPr>
      <w:r w:rsidRPr="00847EDF">
        <w:rPr>
          <w:rFonts w:ascii="Times New Roman" w:eastAsia="宋体" w:hAnsi="Times New Roman" w:cs="Times New Roman"/>
          <w:sz w:val="28"/>
          <w:szCs w:val="28"/>
        </w:rPr>
        <w:t>from the start date of the pick-up period (inclusive), the late fee for each day shall be product of the quantity of the goods that should have been picked up on that day and the corresponding late fee standard; and</w:t>
      </w:r>
    </w:p>
    <w:p w:rsidR="00B1215C" w:rsidRPr="00847EDF" w:rsidRDefault="00B1215C" w:rsidP="00B1215C">
      <w:pPr>
        <w:numPr>
          <w:ilvl w:val="0"/>
          <w:numId w:val="3"/>
        </w:numPr>
        <w:adjustRightInd w:val="0"/>
        <w:snapToGrid w:val="0"/>
        <w:spacing w:line="360" w:lineRule="auto"/>
        <w:ind w:left="1843" w:hanging="584"/>
        <w:rPr>
          <w:rFonts w:ascii="Times New Roman" w:eastAsia="宋体" w:hAnsi="Times New Roman" w:cs="Times New Roman"/>
          <w:sz w:val="28"/>
          <w:szCs w:val="28"/>
        </w:rPr>
      </w:pPr>
      <w:r w:rsidRPr="00847EDF">
        <w:rPr>
          <w:rFonts w:ascii="Times New Roman" w:eastAsia="宋体" w:hAnsi="Times New Roman" w:cs="Times New Roman"/>
          <w:sz w:val="28"/>
          <w:szCs w:val="28"/>
        </w:rPr>
        <w:t>as of the day when the picking-up is completed (exclusive), the aggregate late fee owed to the factory warehouse by the owner shall be the sum of the late fees for each day.</w:t>
      </w:r>
    </w:p>
    <w:p w:rsidR="00B1215C" w:rsidRPr="00847EDF" w:rsidRDefault="00B1215C" w:rsidP="00B1215C">
      <w:pPr>
        <w:adjustRightInd w:val="0"/>
        <w:snapToGrid w:val="0"/>
        <w:spacing w:line="360" w:lineRule="auto"/>
        <w:ind w:left="1260" w:firstLine="16"/>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standard shall be CNY 2/Ton*Day.</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If the pick-up is carried out after expiry of the pick-up period (exclusive of the expiry day) and within nineteen (19) calendar days (inclusive of the nineteenth calendar day) following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shall be calculated as follows:</w:t>
      </w:r>
    </w:p>
    <w:p w:rsidR="00B1215C" w:rsidRPr="00847EDF" w:rsidRDefault="00B1215C" w:rsidP="00B1215C">
      <w:pPr>
        <w:numPr>
          <w:ilvl w:val="0"/>
          <w:numId w:val="4"/>
        </w:numPr>
        <w:adjustRightInd w:val="0"/>
        <w:snapToGrid w:val="0"/>
        <w:spacing w:line="360" w:lineRule="auto"/>
        <w:ind w:left="1843" w:hanging="584"/>
        <w:rPr>
          <w:rFonts w:ascii="Times New Roman" w:eastAsia="宋体" w:hAnsi="Times New Roman" w:cs="Times New Roman"/>
          <w:sz w:val="28"/>
          <w:szCs w:val="28"/>
        </w:rPr>
      </w:pPr>
      <w:r w:rsidRPr="00847EDF">
        <w:rPr>
          <w:rFonts w:ascii="Times New Roman" w:eastAsia="宋体" w:hAnsi="Times New Roman" w:cs="Times New Roman"/>
          <w:sz w:val="28"/>
          <w:szCs w:val="28"/>
        </w:rPr>
        <w:t>from the expiration date of picking-up period (inclusive), the late fee for each day shall be product of the quantity of the goods that should have been picked up on that day and the corresponding late fee standard; and</w:t>
      </w:r>
    </w:p>
    <w:p w:rsidR="00B1215C" w:rsidRPr="00847EDF" w:rsidRDefault="00B1215C" w:rsidP="00B1215C">
      <w:pPr>
        <w:numPr>
          <w:ilvl w:val="0"/>
          <w:numId w:val="4"/>
        </w:numPr>
        <w:adjustRightInd w:val="0"/>
        <w:snapToGrid w:val="0"/>
        <w:spacing w:line="360" w:lineRule="auto"/>
        <w:ind w:left="1843" w:hanging="584"/>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as of the day when the picking-up is completed (exclusive), the aggregate late fee owed to the factory warehouse by the owner shall be the sum of the late fees for each day.</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The late fee standard shall be CNY 2/Ton*Day.</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B1215C" w:rsidRPr="00847EDF" w:rsidRDefault="00B1215C" w:rsidP="00B1215C">
      <w:pPr>
        <w:adjustRightInd w:val="0"/>
        <w:snapToGrid w:val="0"/>
        <w:spacing w:line="360" w:lineRule="auto"/>
        <w:ind w:left="1260" w:firstLine="16"/>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late fee = CNY 2/Ton*Day × Quantity of all the commodities × 19 Days</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Where the factory warehouse fails to consign commodities according to the required daily consignment speed but completes the consignment of all the commodities on time, the factory warehouse shall compensate the owner.</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compensation = Delivery settlement price of the last delivery month of such commodity × Quantity of the commodities which should have been consigned as per the required daily consignment speed × 5%</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Where the factory warehouse fails to complete the consignment of all the commodities on time, it shall compensate the owner in addition to the compensation provided in Article 37 hereof. Amount of compensation = Delivery settlement price of the last delivery month of such commodity × Quantity of the commodities </w:t>
      </w:r>
      <w:r w:rsidRPr="00847EDF">
        <w:rPr>
          <w:rFonts w:ascii="Times New Roman" w:eastAsia="宋体" w:hAnsi="Times New Roman" w:cs="Times New Roman"/>
          <w:sz w:val="28"/>
          <w:szCs w:val="28"/>
        </w:rPr>
        <w:lastRenderedPageBreak/>
        <w:t>that should have been consigned according to the total quantity of the commodities × 5%. The following procedures shall also be followed in case of such failure:</w:t>
      </w:r>
    </w:p>
    <w:p w:rsidR="00B1215C" w:rsidRPr="00847EDF" w:rsidRDefault="00B1215C" w:rsidP="00B1215C">
      <w:pPr>
        <w:numPr>
          <w:ilvl w:val="0"/>
          <w:numId w:val="5"/>
        </w:numPr>
        <w:adjustRightInd w:val="0"/>
        <w:snapToGrid w:val="0"/>
        <w:spacing w:line="360" w:lineRule="auto"/>
        <w:ind w:left="1826"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B1215C" w:rsidRPr="00847EDF" w:rsidRDefault="00B1215C" w:rsidP="00B1215C">
      <w:pPr>
        <w:numPr>
          <w:ilvl w:val="0"/>
          <w:numId w:val="5"/>
        </w:numPr>
        <w:adjustRightInd w:val="0"/>
        <w:snapToGrid w:val="0"/>
        <w:spacing w:line="360" w:lineRule="auto"/>
        <w:ind w:left="1826" w:hanging="567"/>
        <w:rPr>
          <w:rFonts w:ascii="Times New Roman" w:eastAsia="宋体" w:hAnsi="Times New Roman" w:cs="Times New Roman"/>
          <w:sz w:val="28"/>
          <w:szCs w:val="28"/>
        </w:rPr>
      </w:pPr>
      <w:r w:rsidRPr="00847EDF">
        <w:rPr>
          <w:rFonts w:ascii="Times New Roman" w:eastAsia="宋体" w:hAnsi="Times New Roman" w:cs="Times New Roman"/>
          <w:sz w:val="28"/>
          <w:szCs w:val="28"/>
        </w:rPr>
        <w:t>the Exchange will refund to the owner the payment of the commodities and compensate the owner if it fails to provide the abovementioned commodities.</w:t>
      </w:r>
    </w:p>
    <w:p w:rsidR="00B1215C" w:rsidRPr="00847EDF" w:rsidRDefault="00B1215C" w:rsidP="00B1215C">
      <w:pPr>
        <w:adjustRightInd w:val="0"/>
        <w:snapToGrid w:val="0"/>
        <w:spacing w:line="360" w:lineRule="auto"/>
        <w:ind w:left="1259"/>
        <w:rPr>
          <w:rFonts w:ascii="Times New Roman" w:eastAsia="宋体" w:hAnsi="Times New Roman" w:cs="Times New Roman"/>
          <w:sz w:val="28"/>
          <w:szCs w:val="28"/>
        </w:rPr>
      </w:pPr>
      <w:r w:rsidRPr="00847EDF">
        <w:rPr>
          <w:rFonts w:ascii="Times New Roman" w:eastAsia="宋体" w:hAnsi="Times New Roman" w:cs="Times New Roman"/>
          <w:sz w:val="28"/>
          <w:szCs w:val="28"/>
        </w:rPr>
        <w:t>Amount of refunded payment of commodities and compensation = Delivery settlement price of the last delivery month of such commodity × Quantity of the commodities that should have been consigned according to the total quantity of the commodities × 120%</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In the event of any default of the factory warehouse described in Article 37 or 38 hereof, the factory warehouse shall pay the compensation to the owner first. Where the factory warehouse fails to pay the compensation in whole or in part, the Exchange will handle such situation subject to the relevant provisions in the </w:t>
      </w:r>
      <w:r w:rsidRPr="00847EDF">
        <w:rPr>
          <w:rFonts w:ascii="Times New Roman" w:eastAsia="宋体" w:hAnsi="Times New Roman" w:cs="Times New Roman"/>
          <w:i/>
          <w:iCs/>
          <w:sz w:val="28"/>
          <w:szCs w:val="28"/>
        </w:rPr>
        <w:t>Measures for Standard Warehouse Receipt Management of Dalian Commodity Exchange</w:t>
      </w:r>
      <w:r w:rsidRPr="00847EDF">
        <w:rPr>
          <w:rFonts w:ascii="Times New Roman" w:eastAsia="宋体" w:hAnsi="Times New Roman" w:cs="Times New Roman"/>
          <w:sz w:val="28"/>
          <w:szCs w:val="28"/>
        </w:rPr>
        <w:t>.</w:t>
      </w:r>
    </w:p>
    <w:p w:rsidR="00B1215C" w:rsidRPr="00847EDF" w:rsidRDefault="00B1215C" w:rsidP="00B1215C">
      <w:pPr>
        <w:adjustRightInd w:val="0"/>
        <w:snapToGrid w:val="0"/>
        <w:spacing w:line="360" w:lineRule="auto"/>
        <w:jc w:val="center"/>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Chapter IV  Supplementary Provisions</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Any violation of the Detailed Rules shall be handled by the Exchange subject to the applicable provisions of the </w:t>
      </w:r>
      <w:r w:rsidRPr="00847EDF">
        <w:rPr>
          <w:rFonts w:ascii="Times New Roman" w:eastAsia="宋体" w:hAnsi="Times New Roman" w:cs="Times New Roman"/>
          <w:i/>
          <w:iCs/>
          <w:sz w:val="28"/>
          <w:szCs w:val="28"/>
        </w:rPr>
        <w:t xml:space="preserve">Measures against Rule Violations of Dalian Commodity Exchange </w:t>
      </w:r>
      <w:r w:rsidRPr="00847EDF">
        <w:rPr>
          <w:rFonts w:ascii="Times New Roman" w:eastAsia="宋体" w:hAnsi="Times New Roman" w:cs="Times New Roman"/>
          <w:sz w:val="28"/>
          <w:szCs w:val="28"/>
        </w:rPr>
        <w:t>and other rules.</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sz w:val="28"/>
          <w:szCs w:val="28"/>
        </w:rPr>
      </w:pPr>
      <w:r w:rsidRPr="00847EDF">
        <w:rPr>
          <w:rFonts w:ascii="Times New Roman" w:eastAsia="宋体" w:hAnsi="Times New Roman" w:cs="Times New Roman"/>
          <w:sz w:val="28"/>
          <w:szCs w:val="28"/>
        </w:rPr>
        <w:lastRenderedPageBreak/>
        <w:t>The Exchange reserves the right to interpret the Detailed Rules.</w:t>
      </w:r>
    </w:p>
    <w:p w:rsidR="00B1215C" w:rsidRPr="00847EDF" w:rsidRDefault="00B1215C" w:rsidP="00B1215C">
      <w:pPr>
        <w:numPr>
          <w:ilvl w:val="0"/>
          <w:numId w:val="2"/>
        </w:numPr>
        <w:adjustRightInd w:val="0"/>
        <w:snapToGrid w:val="0"/>
        <w:spacing w:line="360" w:lineRule="auto"/>
        <w:ind w:left="1276" w:hanging="1276"/>
        <w:rPr>
          <w:rFonts w:ascii="Times New Roman" w:eastAsia="宋体" w:hAnsi="Times New Roman" w:cs="Times New Roman"/>
          <w:b/>
          <w:bCs/>
          <w:sz w:val="28"/>
          <w:szCs w:val="28"/>
        </w:rPr>
      </w:pPr>
      <w:r w:rsidRPr="00847EDF">
        <w:rPr>
          <w:rFonts w:ascii="Times New Roman" w:eastAsia="宋体" w:hAnsi="Times New Roman" w:cs="Times New Roman"/>
          <w:sz w:val="28"/>
          <w:szCs w:val="28"/>
        </w:rPr>
        <w:t xml:space="preserve">The Detailed Rules shall come into force on </w:t>
      </w:r>
      <w:bookmarkStart w:id="7" w:name="_Hlk533753959"/>
      <w:r w:rsidRPr="00847EDF">
        <w:rPr>
          <w:rFonts w:ascii="Times New Roman" w:eastAsia="宋体" w:hAnsi="Times New Roman" w:cs="Times New Roman"/>
          <w:sz w:val="28"/>
          <w:szCs w:val="28"/>
        </w:rPr>
        <w:t>July 1, 2019</w:t>
      </w:r>
      <w:bookmarkEnd w:id="7"/>
      <w:r w:rsidRPr="00847EDF">
        <w:rPr>
          <w:rFonts w:ascii="Times New Roman" w:eastAsia="宋体" w:hAnsi="Times New Roman" w:cs="Times New Roman"/>
          <w:sz w:val="28"/>
          <w:szCs w:val="28"/>
        </w:rPr>
        <w:t>.</w:t>
      </w:r>
    </w:p>
    <w:p w:rsidR="00B1215C" w:rsidRPr="00847EDF" w:rsidRDefault="00B1215C" w:rsidP="00B1215C">
      <w:pPr>
        <w:adjustRightInd w:val="0"/>
        <w:snapToGrid w:val="0"/>
        <w:spacing w:line="360" w:lineRule="auto"/>
        <w:rPr>
          <w:rFonts w:ascii="Times New Roman" w:eastAsia="宋体" w:hAnsi="Times New Roman" w:cs="Times New Roman"/>
          <w:b/>
          <w:bCs/>
          <w:sz w:val="28"/>
          <w:szCs w:val="28"/>
        </w:rPr>
      </w:pPr>
      <w:r w:rsidRPr="00847EDF">
        <w:rPr>
          <w:rFonts w:ascii="Times New Roman" w:eastAsia="宋体" w:hAnsi="Times New Roman" w:cs="Times New Roman"/>
          <w:b/>
          <w:bCs/>
          <w:sz w:val="28"/>
          <w:szCs w:val="28"/>
        </w:rPr>
        <w:t xml:space="preserve"> </w:t>
      </w:r>
    </w:p>
    <w:p w:rsidR="00B1215C" w:rsidRPr="00847EDF" w:rsidRDefault="00B1215C" w:rsidP="00B1215C">
      <w:pPr>
        <w:adjustRightInd w:val="0"/>
        <w:snapToGrid w:val="0"/>
        <w:spacing w:line="360" w:lineRule="auto"/>
        <w:jc w:val="left"/>
        <w:rPr>
          <w:rFonts w:ascii="Times New Roman" w:eastAsia="宋体" w:hAnsi="Times New Roman" w:cs="Times New Roman"/>
          <w:sz w:val="28"/>
          <w:szCs w:val="28"/>
        </w:rPr>
      </w:pPr>
      <w:r w:rsidRPr="00847EDF">
        <w:rPr>
          <w:rFonts w:ascii="Times New Roman" w:eastAsia="宋体" w:hAnsi="Times New Roman" w:cs="Times New Roman"/>
          <w:sz w:val="28"/>
          <w:szCs w:val="28"/>
        </w:rPr>
        <w:t>Annex: List of Delivery Warehouses Designated for Polyvinyl Chloride of Dalian Commodity Exchange (Omitted)</w:t>
      </w:r>
    </w:p>
    <w:p w:rsidR="00B1215C" w:rsidRPr="00847EDF" w:rsidRDefault="00B1215C" w:rsidP="00B1215C">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 </w:t>
      </w:r>
    </w:p>
    <w:p w:rsidR="00B1215C" w:rsidRPr="00847EDF" w:rsidRDefault="00B1215C" w:rsidP="00B1215C">
      <w:pPr>
        <w:widowControl/>
        <w:shd w:val="clear" w:color="auto" w:fill="FFFFFF"/>
        <w:adjustRightInd w:val="0"/>
        <w:snapToGrid w:val="0"/>
        <w:spacing w:line="360" w:lineRule="auto"/>
        <w:rPr>
          <w:rFonts w:ascii="Times New Roman" w:eastAsia="宋体" w:hAnsi="Times New Roman" w:cs="Times New Roman"/>
          <w:b/>
          <w:bCs/>
          <w:i/>
          <w:iCs/>
          <w:sz w:val="28"/>
          <w:szCs w:val="28"/>
        </w:rPr>
      </w:pPr>
      <w:r w:rsidRPr="00847EDF">
        <w:rPr>
          <w:rFonts w:ascii="Times New Roman" w:eastAsia="宋体" w:hAnsi="Times New Roman" w:cs="Times New Roman"/>
          <w:b/>
          <w:bCs/>
          <w:i/>
          <w:iCs/>
          <w:sz w:val="28"/>
          <w:szCs w:val="28"/>
        </w:rPr>
        <w:t xml:space="preserve"> </w:t>
      </w:r>
    </w:p>
    <w:p w:rsidR="00B1215C" w:rsidRPr="00847EDF" w:rsidRDefault="00B1215C" w:rsidP="00B1215C">
      <w:pPr>
        <w:widowControl/>
        <w:shd w:val="clear" w:color="auto" w:fill="FFFFFF"/>
        <w:adjustRightInd w:val="0"/>
        <w:snapToGrid w:val="0"/>
        <w:spacing w:line="360" w:lineRule="auto"/>
        <w:rPr>
          <w:rFonts w:ascii="Times New Roman" w:eastAsia="宋体" w:hAnsi="Times New Roman" w:cs="Times New Roman"/>
          <w:i/>
          <w:iCs/>
          <w:sz w:val="28"/>
          <w:szCs w:val="28"/>
        </w:rPr>
      </w:pPr>
      <w:r w:rsidRPr="00847EDF">
        <w:rPr>
          <w:rFonts w:ascii="Times New Roman" w:eastAsia="宋体" w:hAnsi="Times New Roman" w:cs="Times New Roman"/>
          <w:b/>
          <w:bCs/>
          <w:i/>
          <w:iCs/>
          <w:sz w:val="28"/>
          <w:szCs w:val="28"/>
        </w:rPr>
        <w:t>Disclaimer</w:t>
      </w:r>
      <w:r w:rsidRPr="00847EDF">
        <w:rPr>
          <w:rFonts w:ascii="Times New Roman" w:eastAsia="宋体" w:hAnsi="Times New Roman" w:cs="Times New Roman"/>
          <w:i/>
          <w:iCs/>
          <w:sz w:val="28"/>
          <w:szCs w:val="28"/>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B1215C" w:rsidRPr="00847EDF" w:rsidRDefault="00B1215C" w:rsidP="00B1215C">
      <w:pPr>
        <w:widowControl/>
        <w:shd w:val="clear" w:color="auto" w:fill="FFFFFF"/>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 </w:t>
      </w:r>
    </w:p>
    <w:p w:rsidR="00B1215C" w:rsidRPr="00847EDF" w:rsidRDefault="00B1215C" w:rsidP="00B1215C">
      <w:pPr>
        <w:adjustRightInd w:val="0"/>
        <w:snapToGrid w:val="0"/>
        <w:spacing w:line="360" w:lineRule="auto"/>
        <w:rPr>
          <w:rFonts w:ascii="Times New Roman" w:eastAsia="宋体" w:hAnsi="Times New Roman" w:cs="Times New Roman"/>
          <w:sz w:val="28"/>
          <w:szCs w:val="28"/>
        </w:rPr>
      </w:pPr>
      <w:r w:rsidRPr="00847EDF">
        <w:rPr>
          <w:rFonts w:ascii="Times New Roman" w:eastAsia="宋体" w:hAnsi="Times New Roman" w:cs="Times New Roman"/>
          <w:sz w:val="28"/>
          <w:szCs w:val="28"/>
        </w:rPr>
        <w:t xml:space="preserve"> </w:t>
      </w:r>
    </w:p>
    <w:p w:rsidR="009E255D" w:rsidRPr="00B1215C" w:rsidRDefault="009E255D" w:rsidP="00B1215C">
      <w:bookmarkStart w:id="8" w:name="_GoBack"/>
      <w:bookmarkEnd w:id="8"/>
    </w:p>
    <w:sectPr w:rsidR="009E255D" w:rsidRPr="00B1215C" w:rsidSect="00CB5231">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6C" w:rsidRDefault="0037056C" w:rsidP="0037056C">
      <w:r>
        <w:separator/>
      </w:r>
    </w:p>
  </w:endnote>
  <w:endnote w:type="continuationSeparator" w:id="0">
    <w:p w:rsidR="0037056C" w:rsidRDefault="0037056C" w:rsidP="0037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6C" w:rsidRDefault="0037056C" w:rsidP="0037056C">
      <w:r>
        <w:separator/>
      </w:r>
    </w:p>
  </w:footnote>
  <w:footnote w:type="continuationSeparator" w:id="0">
    <w:p w:rsidR="0037056C" w:rsidRDefault="0037056C" w:rsidP="0037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039"/>
    <w:multiLevelType w:val="multilevel"/>
    <w:tmpl w:val="433A5DC4"/>
    <w:lvl w:ilvl="0">
      <w:start w:val="1"/>
      <w:numFmt w:val="decimal"/>
      <w:lvlText w:val="Article %1"/>
      <w:lvlJc w:val="left"/>
      <w:pPr>
        <w:ind w:left="420" w:hanging="420"/>
      </w:pPr>
      <w:rPr>
        <w:rFonts w:ascii="Times New Roman" w:eastAsia="宋体" w:hAnsi="Times New Roman" w:cs="Times New Roman" w:hint="default"/>
        <w:b/>
        <w:bCs/>
        <w:sz w:val="28"/>
        <w:szCs w:val="28"/>
      </w:rPr>
    </w:lvl>
    <w:lvl w:ilvl="1">
      <w:start w:val="1"/>
      <w:numFmt w:val="decimal"/>
      <w:lvlText w:val="(%2)"/>
      <w:lvlJc w:val="left"/>
      <w:pPr>
        <w:ind w:left="780" w:hanging="36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3285505E"/>
    <w:multiLevelType w:val="multilevel"/>
    <w:tmpl w:val="DE1EC546"/>
    <w:lvl w:ilvl="0">
      <w:start w:val="1"/>
      <w:numFmt w:val="decimal"/>
      <w:lvlText w:val="(%1)"/>
      <w:lvlJc w:val="left"/>
      <w:pPr>
        <w:ind w:left="1629" w:hanging="370"/>
      </w:pPr>
      <w:rPr>
        <w:rFonts w:ascii="Times New Roman" w:hAnsi="Times New Roman" w:cs="Times New Roman" w:hint="default"/>
      </w:rPr>
    </w:lvl>
    <w:lvl w:ilvl="1">
      <w:start w:val="1"/>
      <w:numFmt w:val="lowerLetter"/>
      <w:lvlText w:val="%2)"/>
      <w:lvlJc w:val="left"/>
      <w:pPr>
        <w:ind w:left="2099" w:hanging="420"/>
      </w:pPr>
      <w:rPr>
        <w:rFonts w:ascii="Times New Roman" w:hAnsi="Times New Roman" w:cs="Times New Roman" w:hint="default"/>
      </w:rPr>
    </w:lvl>
    <w:lvl w:ilvl="2">
      <w:start w:val="1"/>
      <w:numFmt w:val="lowerRoman"/>
      <w:lvlText w:val="%3."/>
      <w:lvlJc w:val="right"/>
      <w:pPr>
        <w:ind w:left="2519" w:hanging="420"/>
      </w:pPr>
      <w:rPr>
        <w:rFonts w:ascii="Times New Roman" w:hAnsi="Times New Roman" w:cs="Times New Roman" w:hint="default"/>
      </w:rPr>
    </w:lvl>
    <w:lvl w:ilvl="3">
      <w:start w:val="1"/>
      <w:numFmt w:val="decimal"/>
      <w:lvlText w:val="%4."/>
      <w:lvlJc w:val="left"/>
      <w:pPr>
        <w:ind w:left="2939" w:hanging="420"/>
      </w:pPr>
      <w:rPr>
        <w:rFonts w:ascii="Times New Roman" w:hAnsi="Times New Roman" w:cs="Times New Roman" w:hint="default"/>
      </w:rPr>
    </w:lvl>
    <w:lvl w:ilvl="4">
      <w:start w:val="1"/>
      <w:numFmt w:val="lowerLetter"/>
      <w:lvlText w:val="%5)"/>
      <w:lvlJc w:val="left"/>
      <w:pPr>
        <w:ind w:left="3359" w:hanging="420"/>
      </w:pPr>
      <w:rPr>
        <w:rFonts w:ascii="Times New Roman" w:hAnsi="Times New Roman" w:cs="Times New Roman" w:hint="default"/>
      </w:rPr>
    </w:lvl>
    <w:lvl w:ilvl="5">
      <w:start w:val="1"/>
      <w:numFmt w:val="lowerRoman"/>
      <w:lvlText w:val="%6."/>
      <w:lvlJc w:val="right"/>
      <w:pPr>
        <w:ind w:left="3779" w:hanging="420"/>
      </w:pPr>
      <w:rPr>
        <w:rFonts w:ascii="Times New Roman" w:hAnsi="Times New Roman" w:cs="Times New Roman" w:hint="default"/>
      </w:rPr>
    </w:lvl>
    <w:lvl w:ilvl="6">
      <w:start w:val="1"/>
      <w:numFmt w:val="decimal"/>
      <w:lvlText w:val="%7."/>
      <w:lvlJc w:val="left"/>
      <w:pPr>
        <w:ind w:left="4199" w:hanging="420"/>
      </w:pPr>
      <w:rPr>
        <w:rFonts w:ascii="Times New Roman" w:hAnsi="Times New Roman" w:cs="Times New Roman" w:hint="default"/>
      </w:rPr>
    </w:lvl>
    <w:lvl w:ilvl="7">
      <w:start w:val="1"/>
      <w:numFmt w:val="lowerLetter"/>
      <w:lvlText w:val="%8)"/>
      <w:lvlJc w:val="left"/>
      <w:pPr>
        <w:ind w:left="4619" w:hanging="420"/>
      </w:pPr>
      <w:rPr>
        <w:rFonts w:ascii="Times New Roman" w:hAnsi="Times New Roman" w:cs="Times New Roman" w:hint="default"/>
      </w:rPr>
    </w:lvl>
    <w:lvl w:ilvl="8">
      <w:start w:val="1"/>
      <w:numFmt w:val="lowerRoman"/>
      <w:lvlText w:val="%9."/>
      <w:lvlJc w:val="right"/>
      <w:pPr>
        <w:ind w:left="5039" w:hanging="420"/>
      </w:pPr>
      <w:rPr>
        <w:rFonts w:ascii="Times New Roman" w:hAnsi="Times New Roman" w:cs="Times New Roman" w:hint="default"/>
      </w:rPr>
    </w:lvl>
  </w:abstractNum>
  <w:abstractNum w:abstractNumId="2" w15:restartNumberingAfterBreak="0">
    <w:nsid w:val="3F4E498A"/>
    <w:multiLevelType w:val="multilevel"/>
    <w:tmpl w:val="1A14BE4E"/>
    <w:lvl w:ilvl="0">
      <w:start w:val="5"/>
      <w:numFmt w:val="decimal"/>
      <w:lvlText w:val="Article %1"/>
      <w:lvlJc w:val="left"/>
      <w:pPr>
        <w:ind w:left="420" w:hanging="420"/>
      </w:pPr>
      <w:rPr>
        <w:rFonts w:ascii="Times New Roman" w:hAnsi="Times New Roman" w:cs="Times New Roman" w:hint="default"/>
        <w:b/>
        <w:bCs/>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407506A9"/>
    <w:multiLevelType w:val="multilevel"/>
    <w:tmpl w:val="511ABC32"/>
    <w:lvl w:ilvl="0">
      <w:start w:val="1"/>
      <w:numFmt w:val="decimal"/>
      <w:lvlText w:val="(%1)"/>
      <w:lvlJc w:val="left"/>
      <w:pPr>
        <w:ind w:left="1630" w:hanging="370"/>
      </w:pPr>
      <w:rPr>
        <w:rFonts w:ascii="Times New Roman" w:hAnsi="Times New Roman" w:cs="Times New Roman" w:hint="default"/>
      </w:rPr>
    </w:lvl>
    <w:lvl w:ilvl="1">
      <w:start w:val="1"/>
      <w:numFmt w:val="lowerLetter"/>
      <w:lvlText w:val="%2)"/>
      <w:lvlJc w:val="left"/>
      <w:pPr>
        <w:ind w:left="2100" w:hanging="420"/>
      </w:pPr>
      <w:rPr>
        <w:rFonts w:ascii="Times New Roman" w:hAnsi="Times New Roman" w:cs="Times New Roman" w:hint="default"/>
      </w:rPr>
    </w:lvl>
    <w:lvl w:ilvl="2">
      <w:start w:val="1"/>
      <w:numFmt w:val="lowerRoman"/>
      <w:lvlText w:val="%3."/>
      <w:lvlJc w:val="right"/>
      <w:pPr>
        <w:ind w:left="2520" w:hanging="420"/>
      </w:pPr>
      <w:rPr>
        <w:rFonts w:ascii="Times New Roman" w:hAnsi="Times New Roman" w:cs="Times New Roman" w:hint="default"/>
      </w:rPr>
    </w:lvl>
    <w:lvl w:ilvl="3">
      <w:start w:val="1"/>
      <w:numFmt w:val="decimal"/>
      <w:lvlText w:val="%4."/>
      <w:lvlJc w:val="left"/>
      <w:pPr>
        <w:ind w:left="2940" w:hanging="420"/>
      </w:pPr>
      <w:rPr>
        <w:rFonts w:ascii="Times New Roman" w:hAnsi="Times New Roman" w:cs="Times New Roman" w:hint="default"/>
      </w:rPr>
    </w:lvl>
    <w:lvl w:ilvl="4">
      <w:start w:val="1"/>
      <w:numFmt w:val="lowerLetter"/>
      <w:lvlText w:val="%5)"/>
      <w:lvlJc w:val="left"/>
      <w:pPr>
        <w:ind w:left="3360" w:hanging="420"/>
      </w:pPr>
      <w:rPr>
        <w:rFonts w:ascii="Times New Roman" w:hAnsi="Times New Roman" w:cs="Times New Roman" w:hint="default"/>
      </w:rPr>
    </w:lvl>
    <w:lvl w:ilvl="5">
      <w:start w:val="1"/>
      <w:numFmt w:val="lowerRoman"/>
      <w:lvlText w:val="%6."/>
      <w:lvlJc w:val="right"/>
      <w:pPr>
        <w:ind w:left="3780" w:hanging="420"/>
      </w:pPr>
      <w:rPr>
        <w:rFonts w:ascii="Times New Roman" w:hAnsi="Times New Roman" w:cs="Times New Roman" w:hint="default"/>
      </w:rPr>
    </w:lvl>
    <w:lvl w:ilvl="6">
      <w:start w:val="1"/>
      <w:numFmt w:val="decimal"/>
      <w:lvlText w:val="%7."/>
      <w:lvlJc w:val="left"/>
      <w:pPr>
        <w:ind w:left="4200" w:hanging="420"/>
      </w:pPr>
      <w:rPr>
        <w:rFonts w:ascii="Times New Roman" w:hAnsi="Times New Roman" w:cs="Times New Roman" w:hint="default"/>
      </w:rPr>
    </w:lvl>
    <w:lvl w:ilvl="7">
      <w:start w:val="1"/>
      <w:numFmt w:val="lowerLetter"/>
      <w:lvlText w:val="%8)"/>
      <w:lvlJc w:val="left"/>
      <w:pPr>
        <w:ind w:left="4620" w:hanging="420"/>
      </w:pPr>
      <w:rPr>
        <w:rFonts w:ascii="Times New Roman" w:hAnsi="Times New Roman" w:cs="Times New Roman" w:hint="default"/>
      </w:rPr>
    </w:lvl>
    <w:lvl w:ilvl="8">
      <w:start w:val="1"/>
      <w:numFmt w:val="lowerRoman"/>
      <w:lvlText w:val="%9."/>
      <w:lvlJc w:val="right"/>
      <w:pPr>
        <w:ind w:left="5040" w:hanging="420"/>
      </w:pPr>
      <w:rPr>
        <w:rFonts w:ascii="Times New Roman" w:hAnsi="Times New Roman" w:cs="Times New Roman" w:hint="default"/>
      </w:rPr>
    </w:lvl>
  </w:abstractNum>
  <w:abstractNum w:abstractNumId="4" w15:restartNumberingAfterBreak="0">
    <w:nsid w:val="4E683CCA"/>
    <w:multiLevelType w:val="multilevel"/>
    <w:tmpl w:val="A83444D0"/>
    <w:lvl w:ilvl="0">
      <w:start w:val="1"/>
      <w:numFmt w:val="decimal"/>
      <w:lvlText w:val="(%1)"/>
      <w:lvlJc w:val="left"/>
      <w:pPr>
        <w:ind w:left="1680" w:hanging="420"/>
      </w:pPr>
      <w:rPr>
        <w:rFonts w:ascii="Times New Roman" w:hAnsi="Times New Roman" w:cs="Times New Roman" w:hint="default"/>
      </w:rPr>
    </w:lvl>
    <w:lvl w:ilvl="1">
      <w:start w:val="1"/>
      <w:numFmt w:val="lowerLetter"/>
      <w:lvlText w:val="%2)"/>
      <w:lvlJc w:val="left"/>
      <w:pPr>
        <w:ind w:left="2100" w:hanging="420"/>
      </w:pPr>
      <w:rPr>
        <w:rFonts w:ascii="Times New Roman" w:hAnsi="Times New Roman" w:cs="Times New Roman" w:hint="default"/>
      </w:rPr>
    </w:lvl>
    <w:lvl w:ilvl="2">
      <w:start w:val="1"/>
      <w:numFmt w:val="lowerRoman"/>
      <w:lvlText w:val="%3."/>
      <w:lvlJc w:val="right"/>
      <w:pPr>
        <w:ind w:left="2520" w:hanging="420"/>
      </w:pPr>
      <w:rPr>
        <w:rFonts w:ascii="Times New Roman" w:hAnsi="Times New Roman" w:cs="Times New Roman" w:hint="default"/>
      </w:rPr>
    </w:lvl>
    <w:lvl w:ilvl="3">
      <w:start w:val="1"/>
      <w:numFmt w:val="decimal"/>
      <w:lvlText w:val="%4."/>
      <w:lvlJc w:val="left"/>
      <w:pPr>
        <w:ind w:left="2940" w:hanging="420"/>
      </w:pPr>
      <w:rPr>
        <w:rFonts w:ascii="Times New Roman" w:hAnsi="Times New Roman" w:cs="Times New Roman" w:hint="default"/>
      </w:rPr>
    </w:lvl>
    <w:lvl w:ilvl="4">
      <w:start w:val="1"/>
      <w:numFmt w:val="lowerLetter"/>
      <w:lvlText w:val="%5)"/>
      <w:lvlJc w:val="left"/>
      <w:pPr>
        <w:ind w:left="3360" w:hanging="420"/>
      </w:pPr>
      <w:rPr>
        <w:rFonts w:ascii="Times New Roman" w:hAnsi="Times New Roman" w:cs="Times New Roman" w:hint="default"/>
      </w:rPr>
    </w:lvl>
    <w:lvl w:ilvl="5">
      <w:start w:val="1"/>
      <w:numFmt w:val="lowerRoman"/>
      <w:lvlText w:val="%6."/>
      <w:lvlJc w:val="right"/>
      <w:pPr>
        <w:ind w:left="3780" w:hanging="420"/>
      </w:pPr>
      <w:rPr>
        <w:rFonts w:ascii="Times New Roman" w:hAnsi="Times New Roman" w:cs="Times New Roman" w:hint="default"/>
      </w:rPr>
    </w:lvl>
    <w:lvl w:ilvl="6">
      <w:start w:val="1"/>
      <w:numFmt w:val="decimal"/>
      <w:lvlText w:val="%7."/>
      <w:lvlJc w:val="left"/>
      <w:pPr>
        <w:ind w:left="4200" w:hanging="420"/>
      </w:pPr>
      <w:rPr>
        <w:rFonts w:ascii="Times New Roman" w:hAnsi="Times New Roman" w:cs="Times New Roman" w:hint="default"/>
      </w:rPr>
    </w:lvl>
    <w:lvl w:ilvl="7">
      <w:start w:val="1"/>
      <w:numFmt w:val="lowerLetter"/>
      <w:lvlText w:val="%8)"/>
      <w:lvlJc w:val="left"/>
      <w:pPr>
        <w:ind w:left="4620" w:hanging="420"/>
      </w:pPr>
      <w:rPr>
        <w:rFonts w:ascii="Times New Roman" w:hAnsi="Times New Roman" w:cs="Times New Roman" w:hint="default"/>
      </w:rPr>
    </w:lvl>
    <w:lvl w:ilvl="8">
      <w:start w:val="1"/>
      <w:numFmt w:val="lowerRoman"/>
      <w:lvlText w:val="%9."/>
      <w:lvlJc w:val="right"/>
      <w:pPr>
        <w:ind w:left="504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E3"/>
    <w:rsid w:val="0037056C"/>
    <w:rsid w:val="004814E3"/>
    <w:rsid w:val="009E255D"/>
    <w:rsid w:val="00B1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5787DDF-60C6-43D1-AB28-5E36BA2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56C"/>
    <w:rPr>
      <w:sz w:val="18"/>
      <w:szCs w:val="18"/>
    </w:rPr>
  </w:style>
  <w:style w:type="paragraph" w:styleId="a5">
    <w:name w:val="footer"/>
    <w:basedOn w:val="a"/>
    <w:link w:val="a6"/>
    <w:uiPriority w:val="99"/>
    <w:unhideWhenUsed/>
    <w:rsid w:val="0037056C"/>
    <w:pPr>
      <w:tabs>
        <w:tab w:val="center" w:pos="4153"/>
        <w:tab w:val="right" w:pos="8306"/>
      </w:tabs>
      <w:snapToGrid w:val="0"/>
      <w:jc w:val="left"/>
    </w:pPr>
    <w:rPr>
      <w:sz w:val="18"/>
      <w:szCs w:val="18"/>
    </w:rPr>
  </w:style>
  <w:style w:type="character" w:customStyle="1" w:styleId="a6">
    <w:name w:val="页脚 字符"/>
    <w:basedOn w:val="a0"/>
    <w:link w:val="a5"/>
    <w:uiPriority w:val="99"/>
    <w:rsid w:val="003705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2417</Words>
  <Characters>13781</Characters>
  <Application>Microsoft Office Word</Application>
  <DocSecurity>0</DocSecurity>
  <Lines>114</Lines>
  <Paragraphs>32</Paragraphs>
  <ScaleCrop>false</ScaleCrop>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3</cp:revision>
  <dcterms:created xsi:type="dcterms:W3CDTF">2021-10-19T08:32:00Z</dcterms:created>
  <dcterms:modified xsi:type="dcterms:W3CDTF">2021-10-19T08:35:00Z</dcterms:modified>
</cp:coreProperties>
</file>