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9BB" w:rsidRDefault="000B69BB" w:rsidP="000B69BB">
      <w:pPr>
        <w:adjustRightInd w:val="0"/>
        <w:snapToGrid w:val="0"/>
        <w:rPr>
          <w:rFonts w:ascii="Times New Roman" w:eastAsia="仿宋_GB2312" w:hAnsi="Times New Roman" w:cs="Times New Roman"/>
          <w:sz w:val="30"/>
          <w:szCs w:val="30"/>
        </w:rPr>
      </w:pPr>
      <w:r>
        <w:rPr>
          <w:rFonts w:ascii="仿宋_GB2312" w:eastAsia="仿宋_GB2312" w:hAnsi="Times New Roman" w:cs="Times New Roman"/>
          <w:sz w:val="30"/>
          <w:szCs w:val="30"/>
        </w:rPr>
        <w:t>附件</w:t>
      </w:r>
      <w:r>
        <w:rPr>
          <w:rFonts w:ascii="Times New Roman" w:eastAsia="仿宋_GB2312" w:hAnsi="Times New Roman" w:cs="Times New Roman"/>
          <w:sz w:val="30"/>
          <w:szCs w:val="30"/>
        </w:rPr>
        <w:t>5</w:t>
      </w:r>
    </w:p>
    <w:p w:rsidR="000B69BB" w:rsidRDefault="000B69BB" w:rsidP="000B69BB">
      <w:pPr>
        <w:adjustRightInd w:val="0"/>
        <w:snapToGrid w:val="0"/>
        <w:spacing w:line="440" w:lineRule="exact"/>
        <w:rPr>
          <w:rFonts w:ascii="Times New Roman" w:hAnsi="Times New Roman" w:cs="Times New Roman"/>
          <w:sz w:val="32"/>
          <w:szCs w:val="32"/>
        </w:rPr>
      </w:pPr>
      <w:r>
        <w:rPr>
          <w:rFonts w:ascii="Times New Roman" w:hAnsi="Times New Roman" w:cs="Times New Roman"/>
          <w:sz w:val="32"/>
          <w:szCs w:val="32"/>
        </w:rPr>
        <w:t xml:space="preserve"> </w:t>
      </w:r>
    </w:p>
    <w:p w:rsidR="000B69BB" w:rsidRDefault="000B69BB" w:rsidP="000B69BB">
      <w:pPr>
        <w:adjustRightInd w:val="0"/>
        <w:snapToGrid w:val="0"/>
        <w:spacing w:line="440" w:lineRule="exact"/>
        <w:jc w:val="center"/>
        <w:rPr>
          <w:rFonts w:ascii="Times New Roman" w:hAnsi="Times New Roman" w:cs="Times New Roman"/>
          <w:b/>
          <w:bCs/>
          <w:sz w:val="36"/>
          <w:szCs w:val="36"/>
        </w:rPr>
      </w:pPr>
      <w:r>
        <w:rPr>
          <w:rFonts w:cs="Times New Roman"/>
          <w:b/>
          <w:bCs/>
          <w:sz w:val="36"/>
          <w:szCs w:val="36"/>
        </w:rPr>
        <w:t>集团交割仓库现场检查工作底稿（专项检查）</w:t>
      </w:r>
    </w:p>
    <w:p w:rsidR="000B69BB" w:rsidRDefault="000B69BB" w:rsidP="000B69BB">
      <w:pPr>
        <w:spacing w:line="44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p w:rsidR="000B69BB" w:rsidRDefault="000B69BB" w:rsidP="000B69BB">
      <w:pPr>
        <w:spacing w:line="440" w:lineRule="exac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p w:rsidR="000B69BB" w:rsidRDefault="000B69BB" w:rsidP="000B69BB">
      <w:pPr>
        <w:adjustRightInd w:val="0"/>
        <w:snapToGrid w:val="0"/>
        <w:spacing w:line="440" w:lineRule="exact"/>
        <w:rPr>
          <w:rFonts w:ascii="Times New Roman" w:eastAsia="仿宋_GB2312" w:hAnsi="Times New Roman" w:cs="Times New Roman"/>
          <w:sz w:val="24"/>
          <w:szCs w:val="24"/>
        </w:rPr>
      </w:pPr>
      <w:r>
        <w:rPr>
          <w:rFonts w:ascii="仿宋_GB2312" w:eastAsia="仿宋_GB2312" w:hAnsi="Times New Roman" w:cs="Times New Roman"/>
          <w:sz w:val="24"/>
          <w:szCs w:val="24"/>
        </w:rPr>
        <w:t>交易所名称：</w:t>
      </w:r>
    </w:p>
    <w:p w:rsidR="000B69BB" w:rsidRDefault="000B69BB" w:rsidP="000B69BB">
      <w:pPr>
        <w:adjustRightInd w:val="0"/>
        <w:snapToGrid w:val="0"/>
        <w:spacing w:line="440" w:lineRule="exact"/>
        <w:rPr>
          <w:rFonts w:ascii="Times New Roman" w:eastAsia="仿宋_GB2312" w:hAnsi="Times New Roman" w:cs="Times New Roman"/>
          <w:sz w:val="24"/>
          <w:szCs w:val="24"/>
        </w:rPr>
      </w:pPr>
      <w:r>
        <w:rPr>
          <w:rFonts w:ascii="仿宋_GB2312" w:eastAsia="仿宋_GB2312" w:hAnsi="Times New Roman" w:cs="Times New Roman"/>
          <w:sz w:val="24"/>
          <w:szCs w:val="24"/>
        </w:rPr>
        <w:t>集团交割仓库名称：</w:t>
      </w:r>
    </w:p>
    <w:p w:rsidR="000B69BB" w:rsidRDefault="000B69BB" w:rsidP="000B69BB">
      <w:pPr>
        <w:adjustRightInd w:val="0"/>
        <w:snapToGrid w:val="0"/>
        <w:spacing w:line="440" w:lineRule="exact"/>
        <w:rPr>
          <w:rFonts w:ascii="Times New Roman" w:eastAsia="仿宋_GB2312" w:hAnsi="Times New Roman" w:cs="Times New Roman"/>
          <w:sz w:val="24"/>
          <w:szCs w:val="24"/>
        </w:rPr>
      </w:pPr>
      <w:r>
        <w:rPr>
          <w:rFonts w:ascii="仿宋_GB2312" w:eastAsia="仿宋_GB2312" w:hAnsi="Times New Roman" w:cs="Times New Roman"/>
          <w:sz w:val="24"/>
          <w:szCs w:val="24"/>
        </w:rPr>
        <w:t>分库名称：</w:t>
      </w:r>
    </w:p>
    <w:p w:rsidR="000B69BB" w:rsidRDefault="000B69BB" w:rsidP="000B69BB">
      <w:pPr>
        <w:adjustRightInd w:val="0"/>
        <w:snapToGrid w:val="0"/>
        <w:spacing w:line="440" w:lineRule="exact"/>
        <w:rPr>
          <w:rFonts w:ascii="Times New Roman" w:eastAsia="仿宋_GB2312" w:hAnsi="Times New Roman" w:cs="Times New Roman"/>
          <w:sz w:val="24"/>
          <w:szCs w:val="24"/>
        </w:rPr>
      </w:pPr>
      <w:r>
        <w:rPr>
          <w:rFonts w:ascii="仿宋_GB2312" w:eastAsia="仿宋_GB2312" w:hAnsi="Times New Roman" w:cs="Times New Roman"/>
          <w:sz w:val="24"/>
          <w:szCs w:val="24"/>
        </w:rPr>
        <w:t>该仓库本交易所交割商品：</w:t>
      </w:r>
    </w:p>
    <w:p w:rsidR="000B69BB" w:rsidRDefault="000B69BB" w:rsidP="000B69BB">
      <w:pPr>
        <w:adjustRightInd w:val="0"/>
        <w:snapToGrid w:val="0"/>
        <w:spacing w:line="440" w:lineRule="exact"/>
        <w:rPr>
          <w:rFonts w:ascii="Times New Roman" w:eastAsia="仿宋_GB2312" w:hAnsi="Times New Roman" w:cs="Times New Roman"/>
          <w:sz w:val="24"/>
          <w:szCs w:val="24"/>
        </w:rPr>
      </w:pPr>
      <w:r>
        <w:rPr>
          <w:rFonts w:ascii="仿宋_GB2312" w:eastAsia="仿宋_GB2312" w:hAnsi="Times New Roman" w:cs="Times New Roman"/>
          <w:sz w:val="24"/>
          <w:szCs w:val="24"/>
        </w:rPr>
        <w:t>检查时间：</w:t>
      </w:r>
      <w:r>
        <w:rPr>
          <w:rFonts w:ascii="Times New Roman" w:eastAsia="仿宋_GB2312" w:hAnsi="Times New Roman" w:hint="eastAsia"/>
          <w:sz w:val="24"/>
          <w:szCs w:val="24"/>
        </w:rPr>
        <w:t xml:space="preserve">     </w:t>
      </w:r>
      <w:r>
        <w:rPr>
          <w:rFonts w:ascii="仿宋_GB2312" w:eastAsia="仿宋_GB2312" w:hAnsi="Times New Roman" w:cs="Times New Roman"/>
          <w:sz w:val="24"/>
          <w:szCs w:val="24"/>
        </w:rPr>
        <w:t>年</w:t>
      </w:r>
      <w:r>
        <w:rPr>
          <w:rFonts w:ascii="Times New Roman" w:eastAsia="仿宋_GB2312" w:hAnsi="Times New Roman" w:hint="eastAsia"/>
          <w:sz w:val="24"/>
          <w:szCs w:val="24"/>
        </w:rPr>
        <w:t xml:space="preserve">   </w:t>
      </w:r>
      <w:r>
        <w:rPr>
          <w:rFonts w:ascii="仿宋_GB2312" w:eastAsia="仿宋_GB2312" w:hAnsi="Times New Roman" w:cs="Times New Roman"/>
          <w:sz w:val="24"/>
          <w:szCs w:val="24"/>
        </w:rPr>
        <w:t>月</w:t>
      </w:r>
      <w:r>
        <w:rPr>
          <w:rFonts w:ascii="Times New Roman" w:eastAsia="仿宋_GB2312" w:hAnsi="Times New Roman" w:hint="eastAsia"/>
          <w:sz w:val="24"/>
          <w:szCs w:val="24"/>
        </w:rPr>
        <w:t xml:space="preserve">   </w:t>
      </w:r>
      <w:r>
        <w:rPr>
          <w:rFonts w:ascii="仿宋_GB2312" w:eastAsia="仿宋_GB2312" w:hAnsi="Times New Roman" w:cs="Times New Roman"/>
          <w:sz w:val="24"/>
          <w:szCs w:val="24"/>
        </w:rPr>
        <w:t>日至</w:t>
      </w:r>
      <w:r>
        <w:rPr>
          <w:rFonts w:ascii="Times New Roman" w:eastAsia="仿宋_GB2312" w:hAnsi="Times New Roman" w:hint="eastAsia"/>
          <w:sz w:val="24"/>
          <w:szCs w:val="24"/>
        </w:rPr>
        <w:t xml:space="preserve">   </w:t>
      </w:r>
      <w:r>
        <w:rPr>
          <w:rFonts w:ascii="仿宋_GB2312" w:eastAsia="仿宋_GB2312" w:hAnsi="Times New Roman" w:cs="Times New Roman"/>
          <w:sz w:val="24"/>
          <w:szCs w:val="24"/>
        </w:rPr>
        <w:t>月</w:t>
      </w:r>
      <w:r>
        <w:rPr>
          <w:rFonts w:ascii="Times New Roman" w:eastAsia="仿宋_GB2312" w:hAnsi="Times New Roman" w:hint="eastAsia"/>
          <w:sz w:val="24"/>
          <w:szCs w:val="24"/>
        </w:rPr>
        <w:t xml:space="preserve">   </w:t>
      </w:r>
      <w:r>
        <w:rPr>
          <w:rFonts w:ascii="仿宋_GB2312" w:eastAsia="仿宋_GB2312" w:hAnsi="Times New Roman" w:cs="Times New Roman"/>
          <w:sz w:val="24"/>
          <w:szCs w:val="24"/>
        </w:rPr>
        <w:t>日</w:t>
      </w:r>
    </w:p>
    <w:p w:rsidR="000B69BB" w:rsidRDefault="000B69BB" w:rsidP="000B69BB">
      <w:pPr>
        <w:adjustRightInd w:val="0"/>
        <w:snapToGrid w:val="0"/>
        <w:spacing w:line="440" w:lineRule="exact"/>
        <w:rPr>
          <w:rFonts w:ascii="Times New Roman" w:eastAsia="仿宋_GB2312" w:hAnsi="Times New Roman" w:cs="Times New Roman"/>
          <w:sz w:val="24"/>
          <w:szCs w:val="24"/>
        </w:rPr>
      </w:pPr>
      <w:r>
        <w:rPr>
          <w:rFonts w:ascii="仿宋_GB2312" w:eastAsia="仿宋_GB2312" w:hAnsi="Times New Roman" w:cs="Times New Roman"/>
          <w:sz w:val="24"/>
          <w:szCs w:val="24"/>
        </w:rPr>
        <w:t>指定交割仓库负责人或授权人（签章）：</w:t>
      </w:r>
    </w:p>
    <w:p w:rsidR="000B69BB" w:rsidRDefault="000B69BB" w:rsidP="000B69BB">
      <w:pPr>
        <w:adjustRightInd w:val="0"/>
        <w:snapToGrid w:val="0"/>
        <w:spacing w:line="440" w:lineRule="exact"/>
        <w:rPr>
          <w:rFonts w:ascii="Times New Roman" w:eastAsia="仿宋_GB2312" w:hAnsi="Times New Roman" w:cs="Times New Roman"/>
          <w:sz w:val="24"/>
          <w:szCs w:val="24"/>
        </w:rPr>
      </w:pPr>
      <w:r>
        <w:rPr>
          <w:rFonts w:ascii="仿宋_GB2312" w:eastAsia="仿宋_GB2312" w:hAnsi="Times New Roman" w:cs="Times New Roman"/>
          <w:sz w:val="24"/>
          <w:szCs w:val="24"/>
        </w:rPr>
        <w:t>交易所现场检查人员（签章）：</w:t>
      </w:r>
    </w:p>
    <w:p w:rsidR="000B69BB" w:rsidRDefault="000B69BB" w:rsidP="000B69BB">
      <w:pPr>
        <w:adjustRightInd w:val="0"/>
        <w:snapToGrid w:val="0"/>
        <w:spacing w:line="440" w:lineRule="exact"/>
        <w:rPr>
          <w:rFonts w:ascii="Times New Roman" w:eastAsia="仿宋_GB2312" w:hAnsi="Times New Roman" w:cs="Times New Roman"/>
          <w:color w:val="000000"/>
          <w:sz w:val="24"/>
          <w:szCs w:val="24"/>
        </w:rPr>
      </w:pPr>
      <w:r>
        <w:rPr>
          <w:rFonts w:ascii="仿宋_GB2312" w:eastAsia="仿宋_GB2312" w:hAnsi="Times New Roman" w:cs="Times New Roman"/>
          <w:sz w:val="24"/>
          <w:szCs w:val="24"/>
        </w:rPr>
        <w:t>交易所牵头检查部门负责人（签章）：</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7"/>
        <w:gridCol w:w="6337"/>
        <w:gridCol w:w="1276"/>
        <w:gridCol w:w="1956"/>
      </w:tblGrid>
      <w:tr w:rsidR="000B69BB" w:rsidTr="000B69BB">
        <w:trPr>
          <w:trHeight w:val="464"/>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检查项目</w:t>
            </w: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ind w:firstLine="482"/>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内容</w:t>
            </w:r>
          </w:p>
        </w:tc>
        <w:tc>
          <w:tcPr>
            <w:tcW w:w="1276"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是否符合要求</w:t>
            </w:r>
          </w:p>
        </w:tc>
        <w:tc>
          <w:tcPr>
            <w:tcW w:w="1956"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b/>
                <w:bCs/>
                <w:color w:val="000000"/>
                <w:kern w:val="0"/>
                <w:sz w:val="24"/>
                <w:szCs w:val="24"/>
              </w:rPr>
            </w:pPr>
            <w:r>
              <w:rPr>
                <w:rFonts w:ascii="Times New Roman" w:eastAsia="仿宋_GB2312" w:hAnsi="Times New Roman" w:cs="Times New Roman"/>
                <w:b/>
                <w:bCs/>
                <w:color w:val="000000"/>
                <w:kern w:val="0"/>
                <w:sz w:val="24"/>
                <w:szCs w:val="24"/>
              </w:rPr>
              <w:t>备注</w:t>
            </w:r>
          </w:p>
        </w:tc>
      </w:tr>
      <w:tr w:rsidR="000B69BB" w:rsidTr="000B69BB">
        <w:trPr>
          <w:trHeight w:val="285"/>
          <w:jc w:val="center"/>
        </w:trPr>
        <w:tc>
          <w:tcPr>
            <w:tcW w:w="1347" w:type="dxa"/>
            <w:vMerge w:val="restart"/>
            <w:tcBorders>
              <w:top w:val="nil"/>
              <w:left w:val="single" w:sz="4" w:space="0" w:color="auto"/>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期货商品数量</w:t>
            </w: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检查交割仓库保管账的期货商品数量与交易所公布的期货商品数量是否相符</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检查交割仓库保管账中某仓（垛或罐）的期货商品数量与该仓（垛或罐）实际数量是否相符</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570"/>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期货商品质量</w:t>
            </w: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检查期货商品质量是否符合要求</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570"/>
          <w:jc w:val="center"/>
        </w:trPr>
        <w:tc>
          <w:tcPr>
            <w:tcW w:w="1347" w:type="dxa"/>
            <w:tcBorders>
              <w:top w:val="single" w:sz="4" w:space="0" w:color="auto"/>
              <w:left w:val="single" w:sz="4" w:space="0" w:color="auto"/>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期货商品所有权</w:t>
            </w: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检查交割仓库期货商品的货物所有权是否清晰</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570"/>
          <w:jc w:val="center"/>
        </w:trPr>
        <w:tc>
          <w:tcPr>
            <w:tcW w:w="1347" w:type="dxa"/>
            <w:vMerge w:val="restart"/>
            <w:tcBorders>
              <w:top w:val="nil"/>
              <w:left w:val="single" w:sz="4" w:space="0" w:color="auto"/>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交割仓库管理情况</w:t>
            </w: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检查交割仓库是否按《大连商品交易所交割仓库交割业务指引》要求签发《标准仓单注册申请表》，并留存相关单证和资料</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检查交割仓库是否按《大连商品交易所交割仓库交割业务指引》要求进行质量检验，并保存出库样品和检验单据或检验报告等</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检查交割仓库是否按《大连商品交易所交割仓库交割业务指引》要求保管期货商品</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570"/>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检查交割仓库是否按《大连商品交易所交割仓库交割业务指引》要求悬挂相关标识、保管卡等，并公示期货货位平面图、收费标准等信息</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检查交割仓库分库、库房、仓（垛或罐）的编码标识是否规范、清晰、易辨</w:t>
            </w:r>
          </w:p>
        </w:tc>
        <w:tc>
          <w:tcPr>
            <w:tcW w:w="1276" w:type="dxa"/>
            <w:vMerge w:val="restart"/>
            <w:tcBorders>
              <w:top w:val="nil"/>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vMerge w:val="restart"/>
            <w:tcBorders>
              <w:top w:val="nil"/>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检查交割仓库库房是否符合清洁安全、不渗不漏要求</w:t>
            </w:r>
          </w:p>
        </w:tc>
        <w:tc>
          <w:tcPr>
            <w:tcW w:w="0" w:type="auto"/>
            <w:vMerge/>
            <w:tcBorders>
              <w:top w:val="nil"/>
              <w:left w:val="nil"/>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0" w:type="auto"/>
            <w:vMerge/>
            <w:tcBorders>
              <w:top w:val="nil"/>
              <w:left w:val="nil"/>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检查交割场区是否符合整洁畅通、划分合理、功能明确等要求</w:t>
            </w:r>
          </w:p>
        </w:tc>
        <w:tc>
          <w:tcPr>
            <w:tcW w:w="0" w:type="auto"/>
            <w:vMerge/>
            <w:tcBorders>
              <w:top w:val="nil"/>
              <w:left w:val="nil"/>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0" w:type="auto"/>
            <w:vMerge/>
            <w:tcBorders>
              <w:top w:val="nil"/>
              <w:left w:val="nil"/>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r>
      <w:tr w:rsidR="000B69BB" w:rsidTr="000B69BB">
        <w:trPr>
          <w:trHeight w:val="285"/>
          <w:jc w:val="center"/>
        </w:trPr>
        <w:tc>
          <w:tcPr>
            <w:tcW w:w="1347" w:type="dxa"/>
            <w:vMerge w:val="restart"/>
            <w:tcBorders>
              <w:top w:val="nil"/>
              <w:left w:val="single" w:sz="4" w:space="0" w:color="auto"/>
              <w:bottom w:val="single" w:sz="4" w:space="0" w:color="auto"/>
              <w:right w:val="single" w:sz="4" w:space="0" w:color="auto"/>
            </w:tcBorders>
            <w:vAlign w:val="center"/>
            <w:hideMark/>
          </w:tcPr>
          <w:p w:rsidR="000B69BB" w:rsidRDefault="000B69BB">
            <w:pPr>
              <w:widowControl/>
              <w:spacing w:line="340" w:lineRule="exact"/>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其他事项</w:t>
            </w: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检查交割仓库土地、房产等是否发生质押、抵押等担保</w:t>
            </w:r>
          </w:p>
        </w:tc>
        <w:tc>
          <w:tcPr>
            <w:tcW w:w="127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了解交割仓库是否发生《大连商品交易所交割仓库交割业务指引》规定的报告事项，是否按要求进行报告</w:t>
            </w:r>
          </w:p>
        </w:tc>
        <w:tc>
          <w:tcPr>
            <w:tcW w:w="1276" w:type="dxa"/>
            <w:tcBorders>
              <w:top w:val="single" w:sz="4" w:space="0" w:color="auto"/>
              <w:left w:val="nil"/>
              <w:bottom w:val="single" w:sz="4" w:space="0" w:color="auto"/>
              <w:right w:val="single" w:sz="4" w:space="0" w:color="auto"/>
            </w:tcBorders>
            <w:noWrap/>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noWrap/>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noWrap/>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了解交割仓库是否调整期货商品的存放地点</w:t>
            </w:r>
          </w:p>
        </w:tc>
        <w:tc>
          <w:tcPr>
            <w:tcW w:w="1276" w:type="dxa"/>
            <w:tcBorders>
              <w:top w:val="single" w:sz="4" w:space="0" w:color="auto"/>
              <w:left w:val="nil"/>
              <w:bottom w:val="single" w:sz="4" w:space="0" w:color="auto"/>
              <w:right w:val="single" w:sz="4" w:space="0" w:color="auto"/>
            </w:tcBorders>
            <w:noWrap/>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noWrap/>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r w:rsidR="000B69BB" w:rsidTr="000B69BB">
        <w:trPr>
          <w:trHeight w:val="285"/>
          <w:jc w:val="center"/>
        </w:trPr>
        <w:tc>
          <w:tcPr>
            <w:tcW w:w="0" w:type="auto"/>
            <w:vMerge/>
            <w:tcBorders>
              <w:top w:val="nil"/>
              <w:left w:val="single" w:sz="4" w:space="0" w:color="auto"/>
              <w:bottom w:val="single" w:sz="4" w:space="0" w:color="auto"/>
              <w:right w:val="single" w:sz="4" w:space="0" w:color="auto"/>
            </w:tcBorders>
            <w:vAlign w:val="center"/>
            <w:hideMark/>
          </w:tcPr>
          <w:p w:rsidR="000B69BB" w:rsidRDefault="000B69BB">
            <w:pPr>
              <w:widowControl/>
              <w:jc w:val="left"/>
              <w:rPr>
                <w:rFonts w:ascii="Times New Roman" w:eastAsia="仿宋_GB2312" w:hAnsi="Times New Roman" w:cs="Times New Roman"/>
                <w:color w:val="000000"/>
                <w:kern w:val="0"/>
                <w:sz w:val="24"/>
                <w:szCs w:val="24"/>
              </w:rPr>
            </w:pPr>
          </w:p>
        </w:tc>
        <w:tc>
          <w:tcPr>
            <w:tcW w:w="6337" w:type="dxa"/>
            <w:tcBorders>
              <w:top w:val="single" w:sz="4" w:space="0" w:color="auto"/>
              <w:left w:val="nil"/>
              <w:bottom w:val="single" w:sz="4" w:space="0" w:color="auto"/>
              <w:right w:val="single" w:sz="4" w:space="0" w:color="auto"/>
            </w:tcBorders>
            <w:noWrap/>
            <w:vAlign w:val="center"/>
            <w:hideMark/>
          </w:tcPr>
          <w:p w:rsidR="000B69BB" w:rsidRDefault="000B69BB">
            <w:pPr>
              <w:widowControl/>
              <w:spacing w:line="340" w:lineRule="exac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交易所认定的其他检查内容</w:t>
            </w:r>
          </w:p>
        </w:tc>
        <w:tc>
          <w:tcPr>
            <w:tcW w:w="1276" w:type="dxa"/>
            <w:tcBorders>
              <w:top w:val="single" w:sz="4" w:space="0" w:color="auto"/>
              <w:left w:val="nil"/>
              <w:bottom w:val="single" w:sz="4" w:space="0" w:color="auto"/>
              <w:right w:val="single" w:sz="4" w:space="0" w:color="auto"/>
            </w:tcBorders>
            <w:noWrap/>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c>
          <w:tcPr>
            <w:tcW w:w="1956" w:type="dxa"/>
            <w:tcBorders>
              <w:top w:val="single" w:sz="4" w:space="0" w:color="auto"/>
              <w:left w:val="nil"/>
              <w:bottom w:val="single" w:sz="4" w:space="0" w:color="auto"/>
              <w:right w:val="single" w:sz="4" w:space="0" w:color="auto"/>
            </w:tcBorders>
            <w:noWrap/>
            <w:vAlign w:val="center"/>
          </w:tcPr>
          <w:p w:rsidR="000B69BB" w:rsidRDefault="000B69BB">
            <w:pPr>
              <w:widowControl/>
              <w:spacing w:line="340" w:lineRule="exact"/>
              <w:ind w:firstLine="480"/>
              <w:rPr>
                <w:rFonts w:ascii="Times New Roman" w:eastAsia="仿宋_GB2312" w:hAnsi="Times New Roman" w:cs="Times New Roman"/>
                <w:color w:val="000000"/>
                <w:kern w:val="0"/>
                <w:sz w:val="24"/>
                <w:szCs w:val="24"/>
              </w:rPr>
            </w:pPr>
          </w:p>
        </w:tc>
      </w:tr>
    </w:tbl>
    <w:p w:rsidR="000B69BB" w:rsidRDefault="000B69BB" w:rsidP="000B69BB">
      <w:pPr>
        <w:spacing w:line="320" w:lineRule="exact"/>
        <w:ind w:firstLine="720"/>
        <w:jc w:val="left"/>
        <w:rPr>
          <w:rFonts w:ascii="Times New Roman" w:eastAsia="仿宋_GB2312" w:hAnsi="Times New Roman" w:cs="Times New Roman"/>
          <w:color w:val="000000"/>
          <w:sz w:val="24"/>
          <w:szCs w:val="24"/>
        </w:rPr>
      </w:pPr>
      <w:r>
        <w:rPr>
          <w:rFonts w:ascii="Times New Roman" w:eastAsia="仿宋_GB2312" w:hAnsi="Times New Roman" w:cs="Times New Roman"/>
          <w:color w:val="000000"/>
          <w:sz w:val="24"/>
          <w:szCs w:val="24"/>
        </w:rPr>
        <w:t xml:space="preserve"> </w:t>
      </w:r>
    </w:p>
    <w:p w:rsidR="004720DA" w:rsidRPr="000B69BB" w:rsidRDefault="004720DA">
      <w:bookmarkStart w:id="0" w:name="_GoBack"/>
      <w:bookmarkEnd w:id="0"/>
    </w:p>
    <w:sectPr w:rsidR="004720DA" w:rsidRPr="000B69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BB" w:rsidRDefault="000B69BB" w:rsidP="000B69BB">
      <w:r>
        <w:separator/>
      </w:r>
    </w:p>
  </w:endnote>
  <w:endnote w:type="continuationSeparator" w:id="0">
    <w:p w:rsidR="000B69BB" w:rsidRDefault="000B69BB" w:rsidP="000B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BB" w:rsidRDefault="000B69BB" w:rsidP="000B69BB">
      <w:r>
        <w:separator/>
      </w:r>
    </w:p>
  </w:footnote>
  <w:footnote w:type="continuationSeparator" w:id="0">
    <w:p w:rsidR="000B69BB" w:rsidRDefault="000B69BB" w:rsidP="000B6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80"/>
    <w:rsid w:val="000B69BB"/>
    <w:rsid w:val="004720DA"/>
    <w:rsid w:val="00BA6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1CFEF64-010F-4E1B-B16F-E3C15D3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9BB"/>
    <w:pPr>
      <w:widowControl w:val="0"/>
      <w:jc w:val="both"/>
    </w:pPr>
    <w:rPr>
      <w:rFonts w:ascii="等线" w:eastAsia="等线" w:hAnsi="等线" w:cs="宋体"/>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9B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B69BB"/>
    <w:rPr>
      <w:sz w:val="18"/>
      <w:szCs w:val="18"/>
    </w:rPr>
  </w:style>
  <w:style w:type="paragraph" w:styleId="a5">
    <w:name w:val="footer"/>
    <w:basedOn w:val="a"/>
    <w:link w:val="a6"/>
    <w:uiPriority w:val="99"/>
    <w:unhideWhenUsed/>
    <w:rsid w:val="000B69B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B69B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Words>
  <Characters>657</Characters>
  <Application>Microsoft Office Word</Application>
  <DocSecurity>0</DocSecurity>
  <Lines>5</Lines>
  <Paragraphs>1</Paragraphs>
  <ScaleCrop>false</ScaleCrop>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2</cp:revision>
  <dcterms:created xsi:type="dcterms:W3CDTF">2021-03-25T08:03:00Z</dcterms:created>
  <dcterms:modified xsi:type="dcterms:W3CDTF">2021-03-25T08:03:00Z</dcterms:modified>
</cp:coreProperties>
</file>