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13CA0" w14:textId="77777777" w:rsidR="00BF70BB" w:rsidRPr="00E23BA9" w:rsidRDefault="00BF70BB" w:rsidP="00BF70BB">
      <w:pPr>
        <w:widowControl/>
        <w:jc w:val="left"/>
        <w:rPr>
          <w:rFonts w:ascii="黑体" w:eastAsia="黑体" w:hAnsi="黑体"/>
        </w:rPr>
      </w:pPr>
      <w:bookmarkStart w:id="0" w:name="_GoBack"/>
      <w:r w:rsidRPr="00E23BA9">
        <w:rPr>
          <w:rFonts w:ascii="黑体" w:eastAsia="黑体" w:hAnsi="黑体" w:cs="Times New Roman"/>
          <w:sz w:val="32"/>
          <w:szCs w:val="32"/>
        </w:rPr>
        <w:t>附件2</w:t>
      </w:r>
    </w:p>
    <w:bookmarkEnd w:id="0"/>
    <w:p w14:paraId="304F7B40" w14:textId="77777777" w:rsidR="00BF70BB" w:rsidRDefault="00BF70BB" w:rsidP="00BF70BB">
      <w:pPr>
        <w:spacing w:line="520" w:lineRule="exact"/>
        <w:jc w:val="center"/>
        <w:rPr>
          <w:rFonts w:ascii="Times New Roman" w:eastAsia="黑体" w:hAnsi="Times New Roman" w:cs="Times New Roman"/>
          <w:b/>
          <w:sz w:val="40"/>
          <w:szCs w:val="40"/>
        </w:rPr>
      </w:pPr>
      <w:r>
        <w:rPr>
          <w:rFonts w:ascii="Times New Roman" w:eastAsia="黑体" w:hAnsi="Times New Roman" w:cs="Times New Roman"/>
          <w:b/>
          <w:sz w:val="40"/>
          <w:szCs w:val="40"/>
        </w:rPr>
        <w:t>测试内容及时间安排</w:t>
      </w:r>
    </w:p>
    <w:p w14:paraId="743817C5" w14:textId="77777777" w:rsidR="00BF70BB" w:rsidRDefault="00BF70BB" w:rsidP="00BF70BB">
      <w:pPr>
        <w:spacing w:beforeLines="100" w:before="240" w:afterLines="50" w:after="120" w:line="520" w:lineRule="exac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参加测试人员</w:t>
      </w:r>
    </w:p>
    <w:p w14:paraId="26F4E005" w14:textId="77777777" w:rsidR="00BF70BB" w:rsidRDefault="00BF70BB" w:rsidP="00BF70BB">
      <w:pPr>
        <w:spacing w:line="560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远程交易系统和结算系统的相关人员。</w:t>
      </w:r>
    </w:p>
    <w:p w14:paraId="1B42F89C" w14:textId="77777777" w:rsidR="00BF70BB" w:rsidRDefault="00BF70BB" w:rsidP="00BF70BB">
      <w:pPr>
        <w:spacing w:beforeLines="100" w:before="240" w:afterLines="50" w:after="120" w:line="52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测试内容</w:t>
      </w:r>
    </w:p>
    <w:p w14:paraId="73483583" w14:textId="77777777" w:rsidR="00BF70BB" w:rsidRDefault="00BF70BB" w:rsidP="00BF70BB">
      <w:pPr>
        <w:numPr>
          <w:ilvl w:val="0"/>
          <w:numId w:val="1"/>
        </w:numPr>
        <w:snapToGrid w:val="0"/>
        <w:spacing w:line="560" w:lineRule="exact"/>
        <w:ind w:left="0"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本次</w:t>
      </w:r>
      <w:r>
        <w:rPr>
          <w:rFonts w:ascii="Times New Roman" w:eastAsia="仿宋_GB2312" w:hAnsi="Times New Roman" w:cs="Times New Roman"/>
          <w:sz w:val="32"/>
          <w:szCs w:val="32"/>
        </w:rPr>
        <w:t>测试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新增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夜盘品种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线性低密度聚乙烯、聚氯乙烯、聚丙烯、乙二醇、玉米、玉米淀粉、玉米期权。</w:t>
      </w:r>
    </w:p>
    <w:p w14:paraId="3439CF50" w14:textId="77777777" w:rsidR="00BF70BB" w:rsidRDefault="00BF70BB" w:rsidP="00BF70BB">
      <w:pPr>
        <w:numPr>
          <w:ilvl w:val="0"/>
          <w:numId w:val="1"/>
        </w:numPr>
        <w:snapToGrid w:val="0"/>
        <w:spacing w:line="560" w:lineRule="exact"/>
        <w:ind w:left="0"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本次测试包括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个交易日。测试采用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日结算后数据，测试交易日为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日。具体安排如下：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F70BB" w14:paraId="1CA7B7B2" w14:textId="77777777" w:rsidTr="00AF5922">
        <w:tc>
          <w:tcPr>
            <w:tcW w:w="2840" w:type="dxa"/>
            <w:shd w:val="clear" w:color="auto" w:fill="A6A6A6"/>
          </w:tcPr>
          <w:p w14:paraId="28D2F91F" w14:textId="77777777" w:rsidR="00BF70BB" w:rsidRDefault="00BF70BB" w:rsidP="00AF592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模拟交易日</w:t>
            </w:r>
          </w:p>
        </w:tc>
        <w:tc>
          <w:tcPr>
            <w:tcW w:w="2841" w:type="dxa"/>
            <w:shd w:val="clear" w:color="auto" w:fill="A6A6A6"/>
          </w:tcPr>
          <w:p w14:paraId="40ABD18F" w14:textId="77777777" w:rsidR="00BF70BB" w:rsidRDefault="00BF70BB" w:rsidP="00AF592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夜盘</w:t>
            </w:r>
            <w:proofErr w:type="gramEnd"/>
          </w:p>
        </w:tc>
        <w:tc>
          <w:tcPr>
            <w:tcW w:w="2841" w:type="dxa"/>
            <w:shd w:val="clear" w:color="auto" w:fill="A6A6A6"/>
          </w:tcPr>
          <w:p w14:paraId="1A9336BD" w14:textId="77777777" w:rsidR="00BF70BB" w:rsidRDefault="00BF70BB" w:rsidP="00AF592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白盘</w:t>
            </w:r>
          </w:p>
        </w:tc>
      </w:tr>
      <w:tr w:rsidR="00BF70BB" w14:paraId="1816F795" w14:textId="77777777" w:rsidTr="00AF5922">
        <w:tc>
          <w:tcPr>
            <w:tcW w:w="2840" w:type="dxa"/>
            <w:vAlign w:val="center"/>
          </w:tcPr>
          <w:p w14:paraId="693EE2A1" w14:textId="77777777" w:rsidR="00BF70BB" w:rsidRDefault="00BF70BB" w:rsidP="00AF5922">
            <w:pPr>
              <w:tabs>
                <w:tab w:val="left" w:pos="420"/>
              </w:tabs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841" w:type="dxa"/>
            <w:vAlign w:val="center"/>
          </w:tcPr>
          <w:p w14:paraId="2C8938D2" w14:textId="77777777" w:rsidR="00BF70BB" w:rsidRDefault="00BF70BB" w:rsidP="00AF5922">
            <w:pPr>
              <w:tabs>
                <w:tab w:val="left" w:pos="420"/>
              </w:tabs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期权、期货</w:t>
            </w:r>
          </w:p>
        </w:tc>
        <w:tc>
          <w:tcPr>
            <w:tcW w:w="2841" w:type="dxa"/>
            <w:vAlign w:val="center"/>
          </w:tcPr>
          <w:p w14:paraId="27558D35" w14:textId="77777777" w:rsidR="00BF70BB" w:rsidRDefault="00BF70BB" w:rsidP="00AF5922">
            <w:pPr>
              <w:tabs>
                <w:tab w:val="left" w:pos="420"/>
              </w:tabs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期权、期货</w:t>
            </w:r>
          </w:p>
        </w:tc>
      </w:tr>
      <w:tr w:rsidR="00BF70BB" w14:paraId="09D7CFAC" w14:textId="77777777" w:rsidTr="00AF5922">
        <w:tc>
          <w:tcPr>
            <w:tcW w:w="2840" w:type="dxa"/>
            <w:vAlign w:val="center"/>
          </w:tcPr>
          <w:p w14:paraId="4424D3FD" w14:textId="77777777" w:rsidR="00BF70BB" w:rsidRDefault="00BF70BB" w:rsidP="00AF5922">
            <w:pPr>
              <w:tabs>
                <w:tab w:val="left" w:pos="420"/>
              </w:tabs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841" w:type="dxa"/>
            <w:vAlign w:val="center"/>
          </w:tcPr>
          <w:p w14:paraId="53E567FA" w14:textId="77777777" w:rsidR="00BF70BB" w:rsidRDefault="00BF70BB" w:rsidP="00AF5922">
            <w:pPr>
              <w:tabs>
                <w:tab w:val="left" w:pos="420"/>
              </w:tabs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无</w:t>
            </w:r>
          </w:p>
        </w:tc>
        <w:tc>
          <w:tcPr>
            <w:tcW w:w="2841" w:type="dxa"/>
            <w:vAlign w:val="center"/>
          </w:tcPr>
          <w:p w14:paraId="22D2BE36" w14:textId="77777777" w:rsidR="00BF70BB" w:rsidRDefault="00BF70BB" w:rsidP="00AF5922">
            <w:pPr>
              <w:tabs>
                <w:tab w:val="left" w:pos="420"/>
              </w:tabs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期权、期货</w:t>
            </w:r>
          </w:p>
        </w:tc>
      </w:tr>
    </w:tbl>
    <w:p w14:paraId="3746B9D9" w14:textId="77777777" w:rsidR="00BF70BB" w:rsidRDefault="00BF70BB" w:rsidP="00BF70BB">
      <w:pPr>
        <w:numPr>
          <w:ilvl w:val="0"/>
          <w:numId w:val="1"/>
        </w:numPr>
        <w:snapToGrid w:val="0"/>
        <w:spacing w:line="560" w:lineRule="exact"/>
        <w:ind w:left="0"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请在交易期间</w:t>
      </w:r>
      <w:r>
        <w:rPr>
          <w:rFonts w:ascii="Times New Roman" w:eastAsia="仿宋_GB2312" w:hAnsi="Times New Roman" w:cs="Times New Roman"/>
          <w:sz w:val="32"/>
          <w:szCs w:val="32"/>
        </w:rPr>
        <w:t>完成登录、期货及期权合约的开仓、平仓、实时行情、预备单委托、资金变化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、席位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间数据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同步、行权和对冲</w:t>
      </w:r>
      <w:r>
        <w:rPr>
          <w:rFonts w:ascii="Times New Roman" w:eastAsia="仿宋_GB2312" w:hAnsi="Times New Roman" w:cs="Times New Roman"/>
          <w:sz w:val="32"/>
          <w:szCs w:val="32"/>
        </w:rPr>
        <w:t>等功能的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测试工作。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夜盘小节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重点关注新增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夜盘品种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的交易及行情展示。</w:t>
      </w:r>
    </w:p>
    <w:p w14:paraId="2F5494CC" w14:textId="77777777" w:rsidR="00BF70BB" w:rsidRDefault="00BF70BB" w:rsidP="00BF70BB">
      <w:pPr>
        <w:numPr>
          <w:ilvl w:val="0"/>
          <w:numId w:val="1"/>
        </w:numPr>
        <w:snapToGrid w:val="0"/>
        <w:spacing w:line="560" w:lineRule="exact"/>
        <w:ind w:left="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结算完毕，交易所将通过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测试会服系统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发布测试结算数据（</w:t>
      </w:r>
      <w:r>
        <w:rPr>
          <w:rFonts w:ascii="Times New Roman" w:eastAsia="仿宋_GB2312" w:hAnsi="Times New Roman" w:cs="Times New Roman"/>
          <w:sz w:val="32"/>
          <w:szCs w:val="32"/>
        </w:rPr>
        <w:t>http://10.93.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36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，请检查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结算数据是否正确。</w:t>
      </w:r>
    </w:p>
    <w:p w14:paraId="5ADD1D37" w14:textId="77777777" w:rsidR="00BF70BB" w:rsidRDefault="00BF70BB" w:rsidP="00BF70BB">
      <w:pPr>
        <w:pStyle w:val="1"/>
        <w:numPr>
          <w:ilvl w:val="0"/>
          <w:numId w:val="1"/>
        </w:numPr>
        <w:spacing w:line="560" w:lineRule="exact"/>
        <w:ind w:firstLineChars="0" w:firstLine="28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测试内容：</w:t>
      </w:r>
    </w:p>
    <w:p w14:paraId="6FB6AF47" w14:textId="77777777" w:rsidR="00BF70BB" w:rsidRDefault="00BF70BB" w:rsidP="00BF70BB">
      <w:pPr>
        <w:pStyle w:val="a7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会员单位测试场景如下表所示：</w:t>
      </w:r>
    </w:p>
    <w:p w14:paraId="4E6F3100" w14:textId="77777777" w:rsidR="00BF70BB" w:rsidRDefault="00BF70BB" w:rsidP="00BF70BB">
      <w:pPr>
        <w:pStyle w:val="a7"/>
        <w:spacing w:before="0" w:beforeAutospacing="0" w:after="0" w:afterAutospacing="0" w:line="580" w:lineRule="exact"/>
        <w:ind w:left="640" w:firstLineChars="50" w:firstLine="16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14:paraId="1AB7B0BB" w14:textId="77777777" w:rsidR="00BF70BB" w:rsidRDefault="00BF70BB" w:rsidP="00BF70BB">
      <w:pPr>
        <w:pStyle w:val="a7"/>
        <w:spacing w:before="0" w:beforeAutospacing="0" w:after="0" w:afterAutospacing="0" w:line="580" w:lineRule="exact"/>
        <w:jc w:val="both"/>
        <w:rPr>
          <w:rFonts w:ascii="Times New Roman" w:eastAsia="仿宋_GB2312" w:hAnsi="Times New Roman" w:cs="Times New Roman"/>
          <w:sz w:val="32"/>
          <w:szCs w:val="32"/>
        </w:rPr>
        <w:sectPr w:rsidR="00BF70BB">
          <w:footerReference w:type="default" r:id="rId10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tbl>
      <w:tblPr>
        <w:tblW w:w="137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1701"/>
        <w:gridCol w:w="3544"/>
        <w:gridCol w:w="5794"/>
      </w:tblGrid>
      <w:tr w:rsidR="00BF70BB" w14:paraId="20A9D091" w14:textId="77777777" w:rsidTr="00AF5922">
        <w:trPr>
          <w:trHeight w:val="285"/>
          <w:jc w:val="center"/>
        </w:trPr>
        <w:tc>
          <w:tcPr>
            <w:tcW w:w="79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C6B6" w14:textId="77777777" w:rsidR="00BF70BB" w:rsidRDefault="00BF70BB" w:rsidP="00AF592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4"/>
              </w:rPr>
              <w:lastRenderedPageBreak/>
              <w:t>测试场景</w:t>
            </w:r>
          </w:p>
        </w:tc>
        <w:tc>
          <w:tcPr>
            <w:tcW w:w="5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E03F" w14:textId="77777777" w:rsidR="00BF70BB" w:rsidRDefault="00BF70BB" w:rsidP="00AF592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8"/>
                <w:szCs w:val="24"/>
              </w:rPr>
              <w:t>操作方法</w:t>
            </w:r>
          </w:p>
        </w:tc>
      </w:tr>
      <w:tr w:rsidR="00BF70BB" w14:paraId="49F596F4" w14:textId="77777777" w:rsidTr="00AF5922">
        <w:trPr>
          <w:trHeight w:val="285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11EF" w14:textId="77777777" w:rsidR="00BF70BB" w:rsidRDefault="00BF70BB" w:rsidP="00AF5922">
            <w:pPr>
              <w:spacing w:line="58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行情展示功能</w:t>
            </w:r>
          </w:p>
        </w:tc>
        <w:tc>
          <w:tcPr>
            <w:tcW w:w="1701" w:type="dxa"/>
            <w:vAlign w:val="center"/>
          </w:tcPr>
          <w:p w14:paraId="49C3CDB3" w14:textId="77777777" w:rsidR="00BF70BB" w:rsidRDefault="00BF70BB" w:rsidP="00AF5922">
            <w:pPr>
              <w:spacing w:line="58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夜盘交易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期间</w:t>
            </w:r>
          </w:p>
        </w:tc>
        <w:tc>
          <w:tcPr>
            <w:tcW w:w="3544" w:type="dxa"/>
            <w:vAlign w:val="center"/>
          </w:tcPr>
          <w:p w14:paraId="77B717A0" w14:textId="77777777" w:rsidR="00BF70BB" w:rsidRDefault="00BF70BB" w:rsidP="00AF5922">
            <w:pPr>
              <w:spacing w:line="58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查看新增七个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夜盘品种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所有合约的行情是否展示正常。</w:t>
            </w:r>
          </w:p>
        </w:tc>
        <w:tc>
          <w:tcPr>
            <w:tcW w:w="5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25FE4" w14:textId="77777777" w:rsidR="00BF70BB" w:rsidRDefault="00BF70BB" w:rsidP="00AF5922">
            <w:pPr>
              <w:spacing w:line="58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查看查看新增七个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夜盘品种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所有合约的行情是否有行情展示，展示是否正常。</w:t>
            </w:r>
          </w:p>
        </w:tc>
      </w:tr>
      <w:tr w:rsidR="00BF70BB" w14:paraId="6649DD1E" w14:textId="77777777" w:rsidTr="00AF5922">
        <w:trPr>
          <w:trHeight w:val="285"/>
          <w:jc w:val="center"/>
        </w:trPr>
        <w:tc>
          <w:tcPr>
            <w:tcW w:w="27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E268" w14:textId="77777777" w:rsidR="00BF70BB" w:rsidRDefault="00BF70BB" w:rsidP="00AF5922">
            <w:pPr>
              <w:spacing w:line="58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夜盘下单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14:paraId="1C76B2D5" w14:textId="77777777" w:rsidR="00BF70BB" w:rsidRDefault="00BF70BB" w:rsidP="00AF5922">
            <w:pPr>
              <w:spacing w:line="58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夜盘交易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期间</w:t>
            </w:r>
          </w:p>
        </w:tc>
        <w:tc>
          <w:tcPr>
            <w:tcW w:w="3544" w:type="dxa"/>
            <w:vMerge w:val="restart"/>
            <w:vAlign w:val="center"/>
          </w:tcPr>
          <w:p w14:paraId="10B76362" w14:textId="77777777" w:rsidR="00BF70BB" w:rsidRDefault="00BF70BB" w:rsidP="00AF5922">
            <w:pPr>
              <w:spacing w:line="58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在夜盘时段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对于新增的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夜盘品种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能够正常报单、撤单、成交。</w:t>
            </w:r>
          </w:p>
        </w:tc>
        <w:tc>
          <w:tcPr>
            <w:tcW w:w="5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C5D72" w14:textId="77777777" w:rsidR="00BF70BB" w:rsidRDefault="00BF70BB" w:rsidP="00AF5922">
            <w:pPr>
              <w:spacing w:line="58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在夜盘时段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对所有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夜盘品种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进行报单，委托可以正常报入。</w:t>
            </w:r>
          </w:p>
        </w:tc>
      </w:tr>
      <w:tr w:rsidR="00BF70BB" w14:paraId="14A1DB27" w14:textId="77777777" w:rsidTr="00AF5922">
        <w:trPr>
          <w:trHeight w:val="285"/>
          <w:jc w:val="center"/>
        </w:trPr>
        <w:tc>
          <w:tcPr>
            <w:tcW w:w="27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A7A8" w14:textId="77777777" w:rsidR="00BF70BB" w:rsidRDefault="00BF70BB" w:rsidP="00AF5922">
            <w:pPr>
              <w:spacing w:line="58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3F90B71E" w14:textId="77777777" w:rsidR="00BF70BB" w:rsidRDefault="00BF70BB" w:rsidP="00AF5922">
            <w:pPr>
              <w:spacing w:line="58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3544" w:type="dxa"/>
            <w:vMerge/>
            <w:vAlign w:val="center"/>
          </w:tcPr>
          <w:p w14:paraId="2DCDC0A2" w14:textId="77777777" w:rsidR="00BF70BB" w:rsidRDefault="00BF70BB" w:rsidP="00AF5922">
            <w:pPr>
              <w:spacing w:line="58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5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3CC4F" w14:textId="77777777" w:rsidR="00BF70BB" w:rsidRDefault="00BF70BB" w:rsidP="00AF5922">
            <w:pPr>
              <w:spacing w:line="58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在夜盘时段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对已有委托进行撤单。</w:t>
            </w:r>
          </w:p>
        </w:tc>
      </w:tr>
      <w:tr w:rsidR="00BF70BB" w14:paraId="7F0C9F84" w14:textId="77777777" w:rsidTr="00AF5922">
        <w:trPr>
          <w:trHeight w:val="285"/>
          <w:jc w:val="center"/>
        </w:trPr>
        <w:tc>
          <w:tcPr>
            <w:tcW w:w="27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12297" w14:textId="77777777" w:rsidR="00BF70BB" w:rsidRDefault="00BF70BB" w:rsidP="00AF5922">
            <w:pPr>
              <w:spacing w:line="58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4978AFE8" w14:textId="77777777" w:rsidR="00BF70BB" w:rsidRDefault="00BF70BB" w:rsidP="00AF5922">
            <w:pPr>
              <w:spacing w:line="580" w:lineRule="exact"/>
              <w:ind w:firstLineChars="100" w:firstLine="280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3544" w:type="dxa"/>
            <w:vMerge/>
            <w:vAlign w:val="center"/>
          </w:tcPr>
          <w:p w14:paraId="360121D6" w14:textId="77777777" w:rsidR="00BF70BB" w:rsidRDefault="00BF70BB" w:rsidP="00AF5922">
            <w:pPr>
              <w:spacing w:line="58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5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BDE50" w14:textId="77777777" w:rsidR="00BF70BB" w:rsidRDefault="00BF70BB" w:rsidP="00AF5922">
            <w:pPr>
              <w:spacing w:line="58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夜盘时段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的委托可以正常成交。</w:t>
            </w:r>
          </w:p>
        </w:tc>
      </w:tr>
      <w:tr w:rsidR="00BF70BB" w14:paraId="5C33F9A2" w14:textId="77777777" w:rsidTr="00AF5922">
        <w:trPr>
          <w:trHeight w:val="285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7FD8" w14:textId="77777777" w:rsidR="00BF70BB" w:rsidRDefault="00BF70BB" w:rsidP="00AF5922">
            <w:pPr>
              <w:pStyle w:val="a7"/>
              <w:spacing w:before="0" w:beforeAutospacing="0" w:after="0" w:afterAutospacing="0" w:line="580" w:lineRule="exact"/>
              <w:jc w:val="both"/>
              <w:rPr>
                <w:rFonts w:ascii="Times New Roman" w:eastAsia="仿宋" w:hAnsi="Times New Roman" w:cs="Times New Roman"/>
                <w:color w:val="000000" w:themeColor="text1"/>
                <w:kern w:val="2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kern w:val="2"/>
                <w:sz w:val="28"/>
                <w:szCs w:val="32"/>
              </w:rPr>
              <w:t>交易暂停正常</w:t>
            </w:r>
          </w:p>
        </w:tc>
        <w:tc>
          <w:tcPr>
            <w:tcW w:w="1701" w:type="dxa"/>
          </w:tcPr>
          <w:p w14:paraId="054542BC" w14:textId="77777777" w:rsidR="00BF70BB" w:rsidRDefault="00BF70BB" w:rsidP="00AF5922">
            <w:pPr>
              <w:spacing w:line="58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夜盘暂停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期间</w:t>
            </w:r>
          </w:p>
        </w:tc>
        <w:tc>
          <w:tcPr>
            <w:tcW w:w="3544" w:type="dxa"/>
          </w:tcPr>
          <w:p w14:paraId="4D1DE1CA" w14:textId="77777777" w:rsidR="00BF70BB" w:rsidRDefault="00BF70BB" w:rsidP="00AF5922">
            <w:pPr>
              <w:pStyle w:val="a7"/>
              <w:spacing w:before="0" w:beforeAutospacing="0" w:after="0" w:afterAutospacing="0" w:line="580" w:lineRule="exact"/>
              <w:jc w:val="both"/>
              <w:rPr>
                <w:rFonts w:ascii="Times New Roman" w:eastAsia="仿宋" w:hAnsi="Times New Roman" w:cs="Times New Roman"/>
                <w:color w:val="000000" w:themeColor="text1"/>
                <w:kern w:val="2"/>
                <w:sz w:val="28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kern w:val="2"/>
                <w:sz w:val="28"/>
                <w:szCs w:val="32"/>
              </w:rPr>
              <w:t>在夜盘暂停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kern w:val="2"/>
                <w:sz w:val="28"/>
                <w:szCs w:val="32"/>
              </w:rPr>
              <w:t>时间，交易暂停，无法进行报撤单。</w:t>
            </w:r>
          </w:p>
        </w:tc>
        <w:tc>
          <w:tcPr>
            <w:tcW w:w="5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E4C4" w14:textId="77777777" w:rsidR="00BF70BB" w:rsidRDefault="00BF70BB" w:rsidP="00AF5922">
            <w:pPr>
              <w:spacing w:line="58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在夜盘暂停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时间，交易暂停，无法进行报撤单。</w:t>
            </w:r>
          </w:p>
        </w:tc>
      </w:tr>
      <w:tr w:rsidR="00BF70BB" w14:paraId="5C246B6B" w14:textId="77777777" w:rsidTr="00AF5922">
        <w:trPr>
          <w:trHeight w:val="285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B22A" w14:textId="77777777" w:rsidR="00BF70BB" w:rsidRDefault="00BF70BB" w:rsidP="00AF5922">
            <w:pPr>
              <w:spacing w:line="58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玉米期权做市商能在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夜盘正常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双边报价</w:t>
            </w:r>
          </w:p>
        </w:tc>
        <w:tc>
          <w:tcPr>
            <w:tcW w:w="1701" w:type="dxa"/>
          </w:tcPr>
          <w:p w14:paraId="094BC7D5" w14:textId="77777777" w:rsidR="00BF70BB" w:rsidRDefault="00BF70BB" w:rsidP="00AF5922">
            <w:pPr>
              <w:spacing w:line="58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夜盘交易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期间</w:t>
            </w:r>
          </w:p>
        </w:tc>
        <w:tc>
          <w:tcPr>
            <w:tcW w:w="3544" w:type="dxa"/>
          </w:tcPr>
          <w:p w14:paraId="3B3DF04D" w14:textId="77777777" w:rsidR="00BF70BB" w:rsidRDefault="00BF70BB" w:rsidP="00AF5922">
            <w:pPr>
              <w:spacing w:line="58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玉米期权做市商能在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夜盘正常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双边报价</w:t>
            </w:r>
          </w:p>
        </w:tc>
        <w:tc>
          <w:tcPr>
            <w:tcW w:w="5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7D1C" w14:textId="77777777" w:rsidR="00BF70BB" w:rsidRDefault="00BF70BB" w:rsidP="00AF5922">
            <w:pPr>
              <w:spacing w:line="58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做市商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在夜盘下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双边单，有权限下单且可成交。</w:t>
            </w:r>
          </w:p>
        </w:tc>
      </w:tr>
      <w:tr w:rsidR="00BF70BB" w14:paraId="773972A5" w14:textId="77777777" w:rsidTr="00AF5922">
        <w:trPr>
          <w:trHeight w:val="285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D650" w14:textId="77777777" w:rsidR="00BF70BB" w:rsidRDefault="00BF70BB" w:rsidP="00AF5922">
            <w:pPr>
              <w:spacing w:line="58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白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盘行情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展示</w:t>
            </w:r>
          </w:p>
        </w:tc>
        <w:tc>
          <w:tcPr>
            <w:tcW w:w="1701" w:type="dxa"/>
          </w:tcPr>
          <w:p w14:paraId="51DFB139" w14:textId="77777777" w:rsidR="00BF70BB" w:rsidRDefault="00BF70BB" w:rsidP="00AF5922">
            <w:pPr>
              <w:spacing w:line="58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白盘交易期间</w:t>
            </w:r>
          </w:p>
        </w:tc>
        <w:tc>
          <w:tcPr>
            <w:tcW w:w="3544" w:type="dxa"/>
          </w:tcPr>
          <w:p w14:paraId="0D9EC2C8" w14:textId="77777777" w:rsidR="00BF70BB" w:rsidRDefault="00BF70BB" w:rsidP="00AF5922">
            <w:pPr>
              <w:spacing w:line="58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交易期间行情展示正常</w:t>
            </w:r>
          </w:p>
        </w:tc>
        <w:tc>
          <w:tcPr>
            <w:tcW w:w="5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3BCA" w14:textId="77777777" w:rsidR="00BF70BB" w:rsidRDefault="00BF70BB" w:rsidP="00AF5922">
            <w:pPr>
              <w:spacing w:line="58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白盘开始时，新增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夜盘品种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行情展示正常。</w:t>
            </w:r>
          </w:p>
        </w:tc>
      </w:tr>
      <w:tr w:rsidR="00BF70BB" w14:paraId="07B35881" w14:textId="77777777" w:rsidTr="00AF5922">
        <w:trPr>
          <w:trHeight w:val="285"/>
          <w:jc w:val="center"/>
        </w:trPr>
        <w:tc>
          <w:tcPr>
            <w:tcW w:w="2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21F8" w14:textId="77777777" w:rsidR="00BF70BB" w:rsidRDefault="00BF70BB" w:rsidP="00AF5922">
            <w:pPr>
              <w:spacing w:line="58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白盘交易</w:t>
            </w:r>
          </w:p>
        </w:tc>
        <w:tc>
          <w:tcPr>
            <w:tcW w:w="1701" w:type="dxa"/>
          </w:tcPr>
          <w:p w14:paraId="24541504" w14:textId="77777777" w:rsidR="00BF70BB" w:rsidRDefault="00BF70BB" w:rsidP="00AF5922">
            <w:pPr>
              <w:spacing w:line="58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白盘交易期间</w:t>
            </w:r>
          </w:p>
        </w:tc>
        <w:tc>
          <w:tcPr>
            <w:tcW w:w="3544" w:type="dxa"/>
          </w:tcPr>
          <w:p w14:paraId="48B6FFE9" w14:textId="77777777" w:rsidR="00BF70BB" w:rsidRDefault="00BF70BB" w:rsidP="00AF5922">
            <w:pPr>
              <w:spacing w:line="58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各品种均可以正常报单、撤单、成交。</w:t>
            </w:r>
          </w:p>
        </w:tc>
        <w:tc>
          <w:tcPr>
            <w:tcW w:w="5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47619" w14:textId="77777777" w:rsidR="00BF70BB" w:rsidRDefault="00BF70BB" w:rsidP="00AF5922">
            <w:pPr>
              <w:spacing w:line="580" w:lineRule="exac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白盘时段各品种均可以正常报单、撤单、成交。</w:t>
            </w:r>
          </w:p>
        </w:tc>
      </w:tr>
      <w:tr w:rsidR="00BF70BB" w14:paraId="3810417A" w14:textId="77777777" w:rsidTr="00AF5922">
        <w:trPr>
          <w:trHeight w:val="285"/>
          <w:jc w:val="center"/>
        </w:trPr>
        <w:tc>
          <w:tcPr>
            <w:tcW w:w="2752" w:type="dxa"/>
            <w:vMerge w:val="restart"/>
            <w:vAlign w:val="center"/>
          </w:tcPr>
          <w:p w14:paraId="065701EB" w14:textId="77777777" w:rsidR="00BF70BB" w:rsidRDefault="00BF70BB" w:rsidP="00AF5922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风险管理测试场景</w:t>
            </w:r>
          </w:p>
        </w:tc>
        <w:tc>
          <w:tcPr>
            <w:tcW w:w="1701" w:type="dxa"/>
            <w:vMerge w:val="restart"/>
            <w:vAlign w:val="center"/>
          </w:tcPr>
          <w:p w14:paraId="52F13890" w14:textId="77777777" w:rsidR="00BF70BB" w:rsidRDefault="00BF70BB" w:rsidP="00AF5922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交易期间</w:t>
            </w:r>
          </w:p>
        </w:tc>
        <w:tc>
          <w:tcPr>
            <w:tcW w:w="3544" w:type="dxa"/>
            <w:vAlign w:val="center"/>
          </w:tcPr>
          <w:p w14:paraId="0B13BBE4" w14:textId="77777777" w:rsidR="00BF70BB" w:rsidRDefault="00BF70BB" w:rsidP="00AF5922">
            <w:pPr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期权套保</w:t>
            </w:r>
          </w:p>
        </w:tc>
        <w:tc>
          <w:tcPr>
            <w:tcW w:w="5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BC990" w14:textId="77777777" w:rsidR="00BF70BB" w:rsidRDefault="00BF70BB" w:rsidP="00AF5922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找一个豆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粕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或者玉米期货套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保资格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客户，在相应期权上使用套保属性下单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手。（会员服务系统套保管理模块下可以查询到该会员下各品种套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保资格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客户，没有的话第一个交易日可以申请套保资格）</w:t>
            </w:r>
          </w:p>
        </w:tc>
      </w:tr>
      <w:tr w:rsidR="00BF70BB" w14:paraId="03D1ED25" w14:textId="77777777" w:rsidTr="00AF5922">
        <w:trPr>
          <w:trHeight w:val="285"/>
          <w:jc w:val="center"/>
        </w:trPr>
        <w:tc>
          <w:tcPr>
            <w:tcW w:w="2752" w:type="dxa"/>
            <w:vMerge/>
            <w:vAlign w:val="center"/>
          </w:tcPr>
          <w:p w14:paraId="62ACA695" w14:textId="77777777" w:rsidR="00BF70BB" w:rsidRDefault="00BF70BB" w:rsidP="00AF5922">
            <w:pPr>
              <w:rPr>
                <w:rFonts w:ascii="Times New Roman" w:eastAsia="仿宋_GB2312" w:hAnsi="Times New Roman" w:cs="Times New Roman"/>
                <w:strike/>
                <w:color w:val="000000" w:themeColor="text1"/>
                <w:sz w:val="28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14:paraId="147F83FD" w14:textId="77777777" w:rsidR="00BF70BB" w:rsidRDefault="00BF70BB" w:rsidP="00AF5922">
            <w:pPr>
              <w:rPr>
                <w:rFonts w:ascii="Times New Roman" w:eastAsia="仿宋_GB2312" w:hAnsi="Times New Roman" w:cs="Times New Roman"/>
                <w:strike/>
                <w:color w:val="000000" w:themeColor="text1"/>
                <w:sz w:val="28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14:paraId="7AF73CED" w14:textId="77777777" w:rsidR="00BF70BB" w:rsidRDefault="00BF70BB" w:rsidP="00AF5922">
            <w:pPr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期货套利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互换订单增加套保属性</w:t>
            </w:r>
          </w:p>
        </w:tc>
        <w:tc>
          <w:tcPr>
            <w:tcW w:w="5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3CE4" w14:textId="77777777" w:rsidR="00BF70BB" w:rsidRDefault="00BF70BB" w:rsidP="00AF5922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使用任意一个品种的套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保资格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客户（会员服务系统套保管理模块下可以查询到该会员下所有套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保资格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客户，没有的话第一个交易日可以申请套保资格），在该品种上使用套利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互换订单，下单时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勾选套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保属性看是否成功。</w:t>
            </w:r>
          </w:p>
        </w:tc>
      </w:tr>
      <w:tr w:rsidR="00BF70BB" w14:paraId="3980BF00" w14:textId="77777777" w:rsidTr="00AF5922">
        <w:trPr>
          <w:trHeight w:val="285"/>
          <w:jc w:val="center"/>
        </w:trPr>
        <w:tc>
          <w:tcPr>
            <w:tcW w:w="2752" w:type="dxa"/>
            <w:vMerge/>
            <w:vAlign w:val="center"/>
          </w:tcPr>
          <w:p w14:paraId="278350BA" w14:textId="77777777" w:rsidR="00BF70BB" w:rsidRDefault="00BF70BB" w:rsidP="00AF5922">
            <w:pPr>
              <w:rPr>
                <w:rFonts w:ascii="Times New Roman" w:eastAsia="仿宋_GB2312" w:hAnsi="Times New Roman" w:cs="Times New Roman"/>
                <w:strike/>
                <w:color w:val="000000" w:themeColor="text1"/>
                <w:sz w:val="28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14:paraId="73BCB075" w14:textId="77777777" w:rsidR="00BF70BB" w:rsidRDefault="00BF70BB" w:rsidP="00AF5922">
            <w:pPr>
              <w:rPr>
                <w:rFonts w:ascii="Times New Roman" w:eastAsia="仿宋_GB2312" w:hAnsi="Times New Roman" w:cs="Times New Roman"/>
                <w:strike/>
                <w:color w:val="000000" w:themeColor="text1"/>
                <w:sz w:val="28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14:paraId="28CA5DE2" w14:textId="77777777" w:rsidR="00BF70BB" w:rsidRDefault="00BF70BB" w:rsidP="00AF5922">
            <w:pPr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投机转保值</w:t>
            </w:r>
          </w:p>
        </w:tc>
        <w:tc>
          <w:tcPr>
            <w:tcW w:w="5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77CC" w14:textId="77777777" w:rsidR="00BF70BB" w:rsidRDefault="00BF70BB" w:rsidP="00AF5922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会服申请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（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限套保资格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客户，盘中申请，如果想要申请后持仓属性能变化，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请确保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该客户转换前有相应持仓）</w:t>
            </w:r>
          </w:p>
        </w:tc>
      </w:tr>
      <w:tr w:rsidR="00BF70BB" w14:paraId="064CB790" w14:textId="77777777" w:rsidTr="00AF5922">
        <w:trPr>
          <w:trHeight w:val="77"/>
          <w:jc w:val="center"/>
        </w:trPr>
        <w:tc>
          <w:tcPr>
            <w:tcW w:w="2752" w:type="dxa"/>
            <w:vMerge w:val="restart"/>
            <w:vAlign w:val="center"/>
          </w:tcPr>
          <w:p w14:paraId="1B2C4070" w14:textId="77777777" w:rsidR="00BF70BB" w:rsidRDefault="00BF70BB" w:rsidP="00AF5922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行权业务测试场景</w:t>
            </w:r>
          </w:p>
          <w:p w14:paraId="0BB0CF93" w14:textId="77777777" w:rsidR="00BF70BB" w:rsidRDefault="00BF70BB" w:rsidP="00AF5922">
            <w:pPr>
              <w:ind w:firstLineChars="100" w:firstLine="280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E770" w14:textId="77777777" w:rsidR="00BF70BB" w:rsidRDefault="00BF70BB" w:rsidP="00AF5922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交易期间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6D88" w14:textId="77777777" w:rsidR="00BF70BB" w:rsidRDefault="00BF70BB" w:rsidP="00AF5922">
            <w:pPr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行权申请（套保）</w:t>
            </w:r>
          </w:p>
        </w:tc>
        <w:tc>
          <w:tcPr>
            <w:tcW w:w="5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4DCF1" w14:textId="77777777" w:rsidR="00BF70BB" w:rsidRDefault="00BF70BB" w:rsidP="00AF5922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通过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>柜台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、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会服系统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提交套保属性期权行权申请，检验行权建仓</w:t>
            </w:r>
          </w:p>
        </w:tc>
      </w:tr>
      <w:tr w:rsidR="00BF70BB" w14:paraId="29D10451" w14:textId="77777777" w:rsidTr="00AF5922">
        <w:trPr>
          <w:trHeight w:val="525"/>
          <w:jc w:val="center"/>
        </w:trPr>
        <w:tc>
          <w:tcPr>
            <w:tcW w:w="2752" w:type="dxa"/>
            <w:vMerge/>
            <w:vAlign w:val="center"/>
          </w:tcPr>
          <w:p w14:paraId="482AB0A8" w14:textId="77777777" w:rsidR="00BF70BB" w:rsidRDefault="00BF70BB" w:rsidP="00AF5922">
            <w:pPr>
              <w:ind w:firstLineChars="100" w:firstLine="280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7F05A" w14:textId="77777777" w:rsidR="00BF70BB" w:rsidRDefault="00BF70BB" w:rsidP="00AF5922">
            <w:pPr>
              <w:ind w:firstLineChars="100" w:firstLine="280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C85F0" w14:textId="77777777" w:rsidR="00BF70BB" w:rsidRDefault="00BF70BB" w:rsidP="00AF5922">
            <w:pPr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套保期权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>行权后双向期货持仓对冲</w:t>
            </w:r>
          </w:p>
        </w:tc>
        <w:tc>
          <w:tcPr>
            <w:tcW w:w="5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B087B" w14:textId="77777777" w:rsidR="00BF70BB" w:rsidRDefault="00BF70BB" w:rsidP="00AF5922">
            <w:pPr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通过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>柜台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、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会服系统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申请套保行权申请并选择期权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>行权后双向期货持仓对冲</w:t>
            </w:r>
          </w:p>
        </w:tc>
      </w:tr>
      <w:tr w:rsidR="00BF70BB" w14:paraId="590E1642" w14:textId="77777777" w:rsidTr="00AF5922">
        <w:trPr>
          <w:trHeight w:val="525"/>
          <w:jc w:val="center"/>
        </w:trPr>
        <w:tc>
          <w:tcPr>
            <w:tcW w:w="2752" w:type="dxa"/>
            <w:vMerge/>
            <w:vAlign w:val="center"/>
          </w:tcPr>
          <w:p w14:paraId="529F62A7" w14:textId="77777777" w:rsidR="00BF70BB" w:rsidRDefault="00BF70BB" w:rsidP="00AF5922">
            <w:pPr>
              <w:ind w:firstLineChars="100" w:firstLine="280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88898" w14:textId="77777777" w:rsidR="00BF70BB" w:rsidRDefault="00BF70BB" w:rsidP="00AF5922">
            <w:pPr>
              <w:ind w:firstLineChars="100" w:firstLine="280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0696" w14:textId="77777777" w:rsidR="00BF70BB" w:rsidRDefault="00BF70BB" w:rsidP="00AF5922">
            <w:pPr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>双向期权持仓对冲</w:t>
            </w:r>
          </w:p>
        </w:tc>
        <w:tc>
          <w:tcPr>
            <w:tcW w:w="5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7A64" w14:textId="77777777" w:rsidR="00BF70BB" w:rsidRDefault="00BF70BB" w:rsidP="00AF5922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同时具有套保期权持仓和投机期权持仓情况下，通过柜台或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会服申请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期权行权持仓对冲</w:t>
            </w:r>
          </w:p>
        </w:tc>
      </w:tr>
      <w:tr w:rsidR="00BF70BB" w14:paraId="55B8422C" w14:textId="77777777" w:rsidTr="00AF5922">
        <w:trPr>
          <w:trHeight w:val="525"/>
          <w:jc w:val="center"/>
        </w:trPr>
        <w:tc>
          <w:tcPr>
            <w:tcW w:w="2752" w:type="dxa"/>
            <w:vMerge/>
            <w:vAlign w:val="center"/>
          </w:tcPr>
          <w:p w14:paraId="0C78CA35" w14:textId="77777777" w:rsidR="00BF70BB" w:rsidRDefault="00BF70BB" w:rsidP="00AF5922">
            <w:pPr>
              <w:ind w:firstLineChars="100" w:firstLine="280"/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1F9C5" w14:textId="77777777" w:rsidR="00BF70BB" w:rsidRDefault="00BF70BB" w:rsidP="00AF5922">
            <w:pPr>
              <w:ind w:firstLineChars="100" w:firstLine="280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7BBFB" w14:textId="77777777" w:rsidR="00BF70BB" w:rsidRDefault="00BF70BB" w:rsidP="00AF5922">
            <w:pPr>
              <w:jc w:val="left"/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履约后双向期货持仓对冲</w:t>
            </w:r>
          </w:p>
        </w:tc>
        <w:tc>
          <w:tcPr>
            <w:tcW w:w="5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559C" w14:textId="77777777" w:rsidR="00BF70BB" w:rsidRDefault="00BF70BB" w:rsidP="00AF5922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通过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>柜台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、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会服系统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32"/>
              </w:rPr>
              <w:t>提交履约后双向期货对冲</w:t>
            </w:r>
          </w:p>
        </w:tc>
      </w:tr>
    </w:tbl>
    <w:p w14:paraId="18CF7F9B" w14:textId="77777777" w:rsidR="00BF70BB" w:rsidRDefault="00BF70BB" w:rsidP="00BF70BB">
      <w:pPr>
        <w:spacing w:beforeLines="100" w:before="240" w:afterLines="50" w:after="120" w:line="520" w:lineRule="exact"/>
        <w:rPr>
          <w:rFonts w:ascii="Times New Roman" w:hAnsi="Times New Roman" w:cs="Times New Roman"/>
          <w:b/>
          <w:sz w:val="32"/>
          <w:szCs w:val="32"/>
        </w:rPr>
        <w:sectPr w:rsidR="00BF70BB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14:paraId="6B5F2D2E" w14:textId="77777777" w:rsidR="00BF70BB" w:rsidRDefault="00BF70BB" w:rsidP="00BF70BB">
      <w:pPr>
        <w:spacing w:beforeLines="100" w:before="312" w:afterLines="50" w:after="156" w:line="52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测试要求</w:t>
      </w:r>
    </w:p>
    <w:p w14:paraId="3D552FAD" w14:textId="77777777" w:rsidR="00BF70BB" w:rsidRDefault="00BF70BB" w:rsidP="00BF70B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请各会员单位</w:t>
      </w:r>
      <w:r>
        <w:rPr>
          <w:rFonts w:ascii="Times New Roman" w:eastAsia="仿宋_GB2312" w:hAnsi="Times New Roman" w:hint="eastAsia"/>
          <w:b/>
          <w:kern w:val="0"/>
          <w:sz w:val="32"/>
          <w:szCs w:val="32"/>
        </w:rPr>
        <w:t>至少安排两个远程席位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（不同柜台系统）参与报单</w:t>
      </w:r>
      <w:r>
        <w:rPr>
          <w:rFonts w:ascii="Times New Roman" w:eastAsia="仿宋_GB2312" w:hAnsi="Times New Roman" w:cs="Times New Roman"/>
          <w:sz w:val="32"/>
          <w:szCs w:val="32"/>
        </w:rPr>
        <w:t>，且满足以下要求：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BF70BB" w14:paraId="1CB7248A" w14:textId="77777777" w:rsidTr="00AF5922">
        <w:trPr>
          <w:jc w:val="center"/>
        </w:trPr>
        <w:tc>
          <w:tcPr>
            <w:tcW w:w="4261" w:type="dxa"/>
            <w:shd w:val="clear" w:color="auto" w:fill="A6A6A6"/>
          </w:tcPr>
          <w:p w14:paraId="0812E455" w14:textId="77777777" w:rsidR="00BF70BB" w:rsidRDefault="00BF70BB" w:rsidP="00AF592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期权</w:t>
            </w:r>
          </w:p>
        </w:tc>
        <w:tc>
          <w:tcPr>
            <w:tcW w:w="4261" w:type="dxa"/>
            <w:shd w:val="clear" w:color="auto" w:fill="A6A6A6"/>
          </w:tcPr>
          <w:p w14:paraId="57CE343E" w14:textId="77777777" w:rsidR="00BF70BB" w:rsidRDefault="00BF70BB" w:rsidP="00AF592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期货</w:t>
            </w:r>
          </w:p>
        </w:tc>
      </w:tr>
      <w:tr w:rsidR="00BF70BB" w14:paraId="7D05D9A7" w14:textId="77777777" w:rsidTr="00AF5922">
        <w:trPr>
          <w:jc w:val="center"/>
        </w:trPr>
        <w:tc>
          <w:tcPr>
            <w:tcW w:w="4261" w:type="dxa"/>
            <w:shd w:val="clear" w:color="auto" w:fill="auto"/>
          </w:tcPr>
          <w:p w14:paraId="390178D5" w14:textId="77777777" w:rsidR="00BF70BB" w:rsidRDefault="00BF70BB" w:rsidP="00AF5922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每席位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期权订单笔数不少于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100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笔、成交笔数不少于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0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，询价不少于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次，行权不少于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50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笔。</w:t>
            </w:r>
          </w:p>
        </w:tc>
        <w:tc>
          <w:tcPr>
            <w:tcW w:w="4261" w:type="dxa"/>
            <w:shd w:val="clear" w:color="auto" w:fill="auto"/>
          </w:tcPr>
          <w:p w14:paraId="08854DC9" w14:textId="77777777" w:rsidR="00BF70BB" w:rsidRDefault="00BF70BB" w:rsidP="00AF5922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每席位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基本订单笔数不少于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00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笔、成交笔数不少于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0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笔，套利订单量不少于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0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。</w:t>
            </w:r>
          </w:p>
        </w:tc>
      </w:tr>
    </w:tbl>
    <w:p w14:paraId="647BE05D" w14:textId="77777777" w:rsidR="00BF70BB" w:rsidRDefault="00BF70BB" w:rsidP="00BF70BB">
      <w:pPr>
        <w:spacing w:beforeLines="100" w:before="312" w:afterLines="50" w:after="156" w:line="52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时间安排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</w:p>
    <w:p w14:paraId="7F5B43FF" w14:textId="77777777" w:rsidR="00BF70BB" w:rsidRDefault="00BF70BB" w:rsidP="00BF70BB">
      <w:pPr>
        <w:pStyle w:val="1"/>
        <w:numPr>
          <w:ilvl w:val="0"/>
          <w:numId w:val="2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时间安排：</w:t>
      </w:r>
    </w:p>
    <w:tbl>
      <w:tblPr>
        <w:tblW w:w="8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391"/>
        <w:gridCol w:w="385"/>
        <w:gridCol w:w="1776"/>
        <w:gridCol w:w="3543"/>
      </w:tblGrid>
      <w:tr w:rsidR="00BF70BB" w14:paraId="45387FF0" w14:textId="77777777" w:rsidTr="00AF5922">
        <w:trPr>
          <w:jc w:val="center"/>
        </w:trPr>
        <w:tc>
          <w:tcPr>
            <w:tcW w:w="1390" w:type="dxa"/>
            <w:shd w:val="clear" w:color="auto" w:fill="A6A6A6"/>
            <w:vAlign w:val="center"/>
          </w:tcPr>
          <w:p w14:paraId="6B4C8346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b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3552" w:type="dxa"/>
            <w:gridSpan w:val="3"/>
            <w:shd w:val="clear" w:color="auto" w:fill="A6A6A6"/>
          </w:tcPr>
          <w:p w14:paraId="7154F529" w14:textId="77777777" w:rsidR="00BF70BB" w:rsidRDefault="00BF70BB" w:rsidP="00AF5922">
            <w:pPr>
              <w:spacing w:line="360" w:lineRule="exact"/>
              <w:ind w:firstLineChars="3" w:firstLine="8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b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3543" w:type="dxa"/>
            <w:shd w:val="clear" w:color="auto" w:fill="A6A6A6"/>
          </w:tcPr>
          <w:p w14:paraId="634E12EA" w14:textId="77777777" w:rsidR="00BF70BB" w:rsidRDefault="00BF70BB" w:rsidP="00AF5922">
            <w:pPr>
              <w:spacing w:line="360" w:lineRule="exact"/>
              <w:ind w:firstLineChars="1" w:firstLine="3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cs="Times New Roman" w:hint="eastAsia"/>
                <w:b/>
                <w:color w:val="000000" w:themeColor="text1"/>
                <w:sz w:val="28"/>
                <w:szCs w:val="28"/>
              </w:rPr>
              <w:t>测试场景</w:t>
            </w:r>
          </w:p>
        </w:tc>
      </w:tr>
      <w:tr w:rsidR="00BF70BB" w14:paraId="0908B813" w14:textId="77777777" w:rsidTr="00AF5922">
        <w:trPr>
          <w:jc w:val="center"/>
        </w:trPr>
        <w:tc>
          <w:tcPr>
            <w:tcW w:w="8485" w:type="dxa"/>
            <w:gridSpan w:val="5"/>
            <w:vAlign w:val="center"/>
          </w:tcPr>
          <w:p w14:paraId="2390E75E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22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日交易日（模拟）</w:t>
            </w:r>
          </w:p>
        </w:tc>
      </w:tr>
      <w:tr w:rsidR="00BF70BB" w14:paraId="1602D84D" w14:textId="77777777" w:rsidTr="00AF5922">
        <w:trPr>
          <w:jc w:val="center"/>
        </w:trPr>
        <w:tc>
          <w:tcPr>
            <w:tcW w:w="1390" w:type="dxa"/>
            <w:vAlign w:val="center"/>
          </w:tcPr>
          <w:p w14:paraId="2E8A69D9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:50:00</w:t>
            </w:r>
            <w:r>
              <w:rPr>
                <w:rFonts w:ascii="Times New Roman" w:eastAsia="仿宋_GB2312" w:cs="Times New Roman"/>
                <w:color w:val="000000" w:themeColor="text1"/>
                <w:sz w:val="24"/>
              </w:rPr>
              <w:t>前</w:t>
            </w:r>
          </w:p>
        </w:tc>
        <w:tc>
          <w:tcPr>
            <w:tcW w:w="3552" w:type="dxa"/>
            <w:gridSpan w:val="3"/>
          </w:tcPr>
          <w:p w14:paraId="0F0B8579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cs="Times New Roman"/>
                <w:color w:val="000000" w:themeColor="text1"/>
                <w:sz w:val="24"/>
              </w:rPr>
              <w:t>会员远程交易员、信息商登录交易员系统，熟悉测试内容安排，准备测试</w:t>
            </w:r>
          </w:p>
        </w:tc>
        <w:tc>
          <w:tcPr>
            <w:tcW w:w="3543" w:type="dxa"/>
            <w:vAlign w:val="center"/>
          </w:tcPr>
          <w:p w14:paraId="480C2C0D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BF70BB" w14:paraId="0EFC44AC" w14:textId="77777777" w:rsidTr="00AF5922">
        <w:trPr>
          <w:jc w:val="center"/>
        </w:trPr>
        <w:tc>
          <w:tcPr>
            <w:tcW w:w="1390" w:type="dxa"/>
            <w:vAlign w:val="center"/>
          </w:tcPr>
          <w:p w14:paraId="0630B2D4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8:55:00</w:t>
            </w:r>
          </w:p>
        </w:tc>
        <w:tc>
          <w:tcPr>
            <w:tcW w:w="1391" w:type="dxa"/>
            <w:vMerge w:val="restart"/>
            <w:vAlign w:val="center"/>
          </w:tcPr>
          <w:p w14:paraId="154932FB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cs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eastAsia="仿宋_GB2312" w:cs="Times New Roman" w:hint="eastAsia"/>
                <w:color w:val="000000" w:themeColor="text1"/>
                <w:sz w:val="24"/>
              </w:rPr>
              <w:t>夜盘小节</w:t>
            </w:r>
            <w:proofErr w:type="gramEnd"/>
          </w:p>
        </w:tc>
        <w:tc>
          <w:tcPr>
            <w:tcW w:w="2161" w:type="dxa"/>
            <w:gridSpan w:val="2"/>
          </w:tcPr>
          <w:p w14:paraId="343570FF" w14:textId="77777777" w:rsidR="00BF70BB" w:rsidRDefault="00BF70BB" w:rsidP="00AF5922">
            <w:pPr>
              <w:spacing w:line="360" w:lineRule="exact"/>
              <w:rPr>
                <w:rFonts w:asci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cs="Times New Roman" w:hint="eastAsia"/>
                <w:color w:val="000000" w:themeColor="text1"/>
                <w:sz w:val="24"/>
              </w:rPr>
              <w:t>集合竞价</w:t>
            </w:r>
            <w:r>
              <w:rPr>
                <w:rFonts w:ascii="Times New Roman" w:eastAsia="仿宋_GB2312" w:cs="Times New Roman"/>
                <w:color w:val="000000" w:themeColor="text1"/>
                <w:sz w:val="24"/>
              </w:rPr>
              <w:t>申报</w:t>
            </w:r>
          </w:p>
        </w:tc>
        <w:tc>
          <w:tcPr>
            <w:tcW w:w="3543" w:type="dxa"/>
            <w:vMerge w:val="restart"/>
            <w:vAlign w:val="center"/>
          </w:tcPr>
          <w:p w14:paraId="013CA7C1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关注新增</w:t>
            </w:r>
            <w:proofErr w:type="gramStart"/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夜盘品种</w:t>
            </w:r>
            <w:proofErr w:type="gramEnd"/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的委托、撤单、成交、行情情况</w:t>
            </w:r>
          </w:p>
        </w:tc>
      </w:tr>
      <w:tr w:rsidR="00BF70BB" w14:paraId="272F6D22" w14:textId="77777777" w:rsidTr="00AF5922">
        <w:trPr>
          <w:jc w:val="center"/>
        </w:trPr>
        <w:tc>
          <w:tcPr>
            <w:tcW w:w="1390" w:type="dxa"/>
            <w:vAlign w:val="center"/>
          </w:tcPr>
          <w:p w14:paraId="7EE33EBE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8:59:00</w:t>
            </w:r>
          </w:p>
        </w:tc>
        <w:tc>
          <w:tcPr>
            <w:tcW w:w="1391" w:type="dxa"/>
            <w:vMerge/>
          </w:tcPr>
          <w:p w14:paraId="6EEAF692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2161" w:type="dxa"/>
            <w:gridSpan w:val="2"/>
          </w:tcPr>
          <w:p w14:paraId="470224B7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cs="Times New Roman" w:hint="eastAsia"/>
                <w:color w:val="000000" w:themeColor="text1"/>
                <w:sz w:val="24"/>
              </w:rPr>
              <w:t>集合竞价</w:t>
            </w:r>
            <w:r>
              <w:rPr>
                <w:rFonts w:ascii="Times New Roman" w:eastAsia="仿宋_GB2312" w:cs="Times New Roman"/>
                <w:color w:val="000000" w:themeColor="text1"/>
                <w:sz w:val="24"/>
              </w:rPr>
              <w:t>撮合</w:t>
            </w:r>
          </w:p>
        </w:tc>
        <w:tc>
          <w:tcPr>
            <w:tcW w:w="3543" w:type="dxa"/>
            <w:vMerge/>
            <w:vAlign w:val="center"/>
          </w:tcPr>
          <w:p w14:paraId="38476D0D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F70BB" w14:paraId="1B0B20DF" w14:textId="77777777" w:rsidTr="00AF5922">
        <w:trPr>
          <w:jc w:val="center"/>
        </w:trPr>
        <w:tc>
          <w:tcPr>
            <w:tcW w:w="1390" w:type="dxa"/>
            <w:vAlign w:val="center"/>
          </w:tcPr>
          <w:p w14:paraId="617A69EC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9:00:00</w:t>
            </w:r>
          </w:p>
        </w:tc>
        <w:tc>
          <w:tcPr>
            <w:tcW w:w="1391" w:type="dxa"/>
            <w:vMerge/>
          </w:tcPr>
          <w:p w14:paraId="303E61E5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2161" w:type="dxa"/>
            <w:gridSpan w:val="2"/>
          </w:tcPr>
          <w:p w14:paraId="643E5BE4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cs="Times New Roman" w:hint="eastAsia"/>
                <w:color w:val="000000" w:themeColor="text1"/>
                <w:sz w:val="24"/>
              </w:rPr>
              <w:t>连续交易</w:t>
            </w:r>
          </w:p>
        </w:tc>
        <w:tc>
          <w:tcPr>
            <w:tcW w:w="3543" w:type="dxa"/>
            <w:vMerge/>
            <w:vAlign w:val="center"/>
          </w:tcPr>
          <w:p w14:paraId="47582187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F70BB" w14:paraId="213DC099" w14:textId="77777777" w:rsidTr="00AF5922">
        <w:trPr>
          <w:jc w:val="center"/>
        </w:trPr>
        <w:tc>
          <w:tcPr>
            <w:tcW w:w="1390" w:type="dxa"/>
            <w:vAlign w:val="center"/>
          </w:tcPr>
          <w:p w14:paraId="14F8C2E9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10: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:00</w:t>
            </w:r>
          </w:p>
        </w:tc>
        <w:tc>
          <w:tcPr>
            <w:tcW w:w="1391" w:type="dxa"/>
            <w:vMerge/>
            <w:vAlign w:val="center"/>
          </w:tcPr>
          <w:p w14:paraId="265A2B74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2161" w:type="dxa"/>
            <w:gridSpan w:val="2"/>
          </w:tcPr>
          <w:p w14:paraId="6C41CD91" w14:textId="77777777" w:rsidR="00BF70BB" w:rsidRDefault="00BF70BB" w:rsidP="00AF5922">
            <w:pPr>
              <w:spacing w:line="360" w:lineRule="exact"/>
              <w:rPr>
                <w:rFonts w:asci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cs="Times New Roman" w:hint="eastAsia"/>
                <w:color w:val="000000" w:themeColor="text1"/>
                <w:sz w:val="24"/>
              </w:rPr>
              <w:t>连续交易暂停</w:t>
            </w:r>
          </w:p>
        </w:tc>
        <w:tc>
          <w:tcPr>
            <w:tcW w:w="3543" w:type="dxa"/>
            <w:vMerge/>
            <w:vAlign w:val="center"/>
          </w:tcPr>
          <w:p w14:paraId="33781802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F70BB" w14:paraId="0ADAF2AC" w14:textId="77777777" w:rsidTr="00AF5922">
        <w:trPr>
          <w:jc w:val="center"/>
        </w:trPr>
        <w:tc>
          <w:tcPr>
            <w:tcW w:w="1390" w:type="dxa"/>
            <w:vAlign w:val="center"/>
          </w:tcPr>
          <w:p w14:paraId="59126614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5:00</w:t>
            </w:r>
          </w:p>
        </w:tc>
        <w:tc>
          <w:tcPr>
            <w:tcW w:w="1391" w:type="dxa"/>
            <w:vMerge w:val="restart"/>
            <w:vAlign w:val="center"/>
          </w:tcPr>
          <w:p w14:paraId="31E2E575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cs="Times New Roman" w:hint="eastAsia"/>
                <w:color w:val="000000" w:themeColor="text1"/>
                <w:sz w:val="24"/>
              </w:rPr>
              <w:t>白盘</w:t>
            </w:r>
          </w:p>
        </w:tc>
        <w:tc>
          <w:tcPr>
            <w:tcW w:w="2161" w:type="dxa"/>
            <w:gridSpan w:val="2"/>
          </w:tcPr>
          <w:p w14:paraId="68898B53" w14:textId="77777777" w:rsidR="00BF70BB" w:rsidRDefault="00BF70BB" w:rsidP="00AF5922">
            <w:pPr>
              <w:spacing w:line="360" w:lineRule="exact"/>
              <w:rPr>
                <w:rFonts w:asci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cs="Times New Roman" w:hint="eastAsia"/>
                <w:color w:val="000000" w:themeColor="text1"/>
                <w:sz w:val="24"/>
              </w:rPr>
              <w:t>集合竞价申报</w:t>
            </w:r>
          </w:p>
        </w:tc>
        <w:tc>
          <w:tcPr>
            <w:tcW w:w="3543" w:type="dxa"/>
            <w:vMerge w:val="restart"/>
            <w:vAlign w:val="center"/>
          </w:tcPr>
          <w:p w14:paraId="7FB2D67A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全品种委托、撤单、成交、行情情况</w:t>
            </w:r>
          </w:p>
        </w:tc>
      </w:tr>
      <w:tr w:rsidR="00BF70BB" w14:paraId="5365D397" w14:textId="77777777" w:rsidTr="00AF5922">
        <w:trPr>
          <w:jc w:val="center"/>
        </w:trPr>
        <w:tc>
          <w:tcPr>
            <w:tcW w:w="1390" w:type="dxa"/>
            <w:vAlign w:val="center"/>
          </w:tcPr>
          <w:p w14:paraId="0C9C56C7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19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:00</w:t>
            </w:r>
          </w:p>
        </w:tc>
        <w:tc>
          <w:tcPr>
            <w:tcW w:w="1391" w:type="dxa"/>
            <w:vMerge/>
          </w:tcPr>
          <w:p w14:paraId="64B9BCCC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2161" w:type="dxa"/>
            <w:gridSpan w:val="2"/>
          </w:tcPr>
          <w:p w14:paraId="448CDA44" w14:textId="77777777" w:rsidR="00BF70BB" w:rsidRDefault="00BF70BB" w:rsidP="00AF5922">
            <w:pPr>
              <w:spacing w:line="360" w:lineRule="exact"/>
              <w:rPr>
                <w:rFonts w:asci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cs="Times New Roman" w:hint="eastAsia"/>
                <w:color w:val="000000" w:themeColor="text1"/>
                <w:sz w:val="24"/>
              </w:rPr>
              <w:t>集合竞价撮合</w:t>
            </w:r>
          </w:p>
        </w:tc>
        <w:tc>
          <w:tcPr>
            <w:tcW w:w="3543" w:type="dxa"/>
            <w:vMerge/>
            <w:vAlign w:val="center"/>
          </w:tcPr>
          <w:p w14:paraId="6A9E3BB7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F70BB" w14:paraId="14CAA033" w14:textId="77777777" w:rsidTr="00AF5922">
        <w:trPr>
          <w:jc w:val="center"/>
        </w:trPr>
        <w:tc>
          <w:tcPr>
            <w:tcW w:w="1390" w:type="dxa"/>
            <w:vAlign w:val="center"/>
          </w:tcPr>
          <w:p w14:paraId="04732838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0:00</w:t>
            </w:r>
          </w:p>
        </w:tc>
        <w:tc>
          <w:tcPr>
            <w:tcW w:w="1391" w:type="dxa"/>
            <w:vMerge/>
          </w:tcPr>
          <w:p w14:paraId="50DA9015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2161" w:type="dxa"/>
            <w:gridSpan w:val="2"/>
          </w:tcPr>
          <w:p w14:paraId="6BD6681E" w14:textId="77777777" w:rsidR="00BF70BB" w:rsidRDefault="00BF70BB" w:rsidP="00AF5922">
            <w:pPr>
              <w:spacing w:line="360" w:lineRule="exact"/>
              <w:rPr>
                <w:rFonts w:asci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cs="Times New Roman" w:hint="eastAsia"/>
                <w:color w:val="000000" w:themeColor="text1"/>
                <w:sz w:val="24"/>
              </w:rPr>
              <w:t>连续交易</w:t>
            </w:r>
          </w:p>
        </w:tc>
        <w:tc>
          <w:tcPr>
            <w:tcW w:w="3543" w:type="dxa"/>
            <w:vMerge/>
            <w:vAlign w:val="center"/>
          </w:tcPr>
          <w:p w14:paraId="1B6535B8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BF70BB" w14:paraId="089638DC" w14:textId="77777777" w:rsidTr="00AF5922">
        <w:trPr>
          <w:trHeight w:val="380"/>
          <w:jc w:val="center"/>
        </w:trPr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3C707B86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10: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:00</w:t>
            </w:r>
          </w:p>
        </w:tc>
        <w:tc>
          <w:tcPr>
            <w:tcW w:w="1391" w:type="dxa"/>
            <w:vMerge/>
          </w:tcPr>
          <w:p w14:paraId="423FA9F5" w14:textId="77777777" w:rsidR="00BF70BB" w:rsidRDefault="00BF70BB" w:rsidP="00AF5922">
            <w:pPr>
              <w:spacing w:line="360" w:lineRule="exact"/>
              <w:rPr>
                <w:rFonts w:asci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2161" w:type="dxa"/>
            <w:gridSpan w:val="2"/>
            <w:tcBorders>
              <w:bottom w:val="single" w:sz="4" w:space="0" w:color="auto"/>
            </w:tcBorders>
          </w:tcPr>
          <w:p w14:paraId="1F67F386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cs="Times New Roman" w:hint="eastAsia"/>
                <w:color w:val="000000" w:themeColor="text1"/>
                <w:sz w:val="24"/>
              </w:rPr>
              <w:t>收市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14:paraId="71F61526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F70BB" w14:paraId="2D06E5F5" w14:textId="77777777" w:rsidTr="00AF5922">
        <w:trPr>
          <w:jc w:val="center"/>
        </w:trPr>
        <w:tc>
          <w:tcPr>
            <w:tcW w:w="1390" w:type="dxa"/>
            <w:vAlign w:val="center"/>
          </w:tcPr>
          <w:p w14:paraId="061012B0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-1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00</w:t>
            </w:r>
          </w:p>
        </w:tc>
        <w:tc>
          <w:tcPr>
            <w:tcW w:w="3552" w:type="dxa"/>
            <w:gridSpan w:val="3"/>
          </w:tcPr>
          <w:p w14:paraId="31A99758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cs="Times New Roman" w:hint="eastAsia"/>
                <w:color w:val="000000" w:themeColor="text1"/>
                <w:sz w:val="24"/>
              </w:rPr>
              <w:t>交易所</w:t>
            </w:r>
            <w:r>
              <w:rPr>
                <w:rFonts w:ascii="Times New Roman" w:eastAsia="仿宋_GB2312" w:cs="Times New Roman"/>
                <w:color w:val="000000" w:themeColor="text1"/>
                <w:sz w:val="24"/>
              </w:rPr>
              <w:t>结算</w:t>
            </w:r>
          </w:p>
        </w:tc>
        <w:tc>
          <w:tcPr>
            <w:tcW w:w="3543" w:type="dxa"/>
            <w:vAlign w:val="center"/>
          </w:tcPr>
          <w:p w14:paraId="521FE7A7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F70BB" w14:paraId="23D07AD4" w14:textId="77777777" w:rsidTr="00AF5922">
        <w:trPr>
          <w:jc w:val="center"/>
        </w:trPr>
        <w:tc>
          <w:tcPr>
            <w:tcW w:w="1390" w:type="dxa"/>
            <w:vAlign w:val="center"/>
          </w:tcPr>
          <w:p w14:paraId="7CB0BE3E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11:00-11:45</w:t>
            </w:r>
          </w:p>
        </w:tc>
        <w:tc>
          <w:tcPr>
            <w:tcW w:w="3552" w:type="dxa"/>
            <w:gridSpan w:val="3"/>
          </w:tcPr>
          <w:p w14:paraId="237F535A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会员单位通过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指定会服地址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下载测试结算数据，请检查结算数据是否正确。</w:t>
            </w:r>
          </w:p>
        </w:tc>
        <w:tc>
          <w:tcPr>
            <w:tcW w:w="3543" w:type="dxa"/>
            <w:vAlign w:val="center"/>
          </w:tcPr>
          <w:p w14:paraId="66AD5CDD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http://10.93.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36.36</w:t>
            </w:r>
          </w:p>
        </w:tc>
      </w:tr>
      <w:tr w:rsidR="00BF70BB" w14:paraId="27961EDF" w14:textId="77777777" w:rsidTr="00AF5922">
        <w:trPr>
          <w:jc w:val="center"/>
        </w:trPr>
        <w:tc>
          <w:tcPr>
            <w:tcW w:w="8485" w:type="dxa"/>
            <w:gridSpan w:val="5"/>
            <w:vAlign w:val="center"/>
          </w:tcPr>
          <w:p w14:paraId="1004EA1D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日交易日（模拟）</w:t>
            </w:r>
          </w:p>
        </w:tc>
      </w:tr>
      <w:tr w:rsidR="00BF70BB" w14:paraId="6644AB1B" w14:textId="77777777" w:rsidTr="00AF5922">
        <w:trPr>
          <w:jc w:val="center"/>
        </w:trPr>
        <w:tc>
          <w:tcPr>
            <w:tcW w:w="1390" w:type="dxa"/>
            <w:vAlign w:val="center"/>
          </w:tcPr>
          <w:p w14:paraId="452B1DAA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13:25:00</w:t>
            </w:r>
          </w:p>
        </w:tc>
        <w:tc>
          <w:tcPr>
            <w:tcW w:w="1776" w:type="dxa"/>
            <w:gridSpan w:val="2"/>
            <w:vMerge w:val="restart"/>
            <w:vAlign w:val="center"/>
          </w:tcPr>
          <w:p w14:paraId="221DD5A1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cs="Times New Roman" w:hint="eastAsia"/>
                <w:color w:val="000000" w:themeColor="text1"/>
                <w:sz w:val="24"/>
              </w:rPr>
              <w:t>白盘</w:t>
            </w:r>
          </w:p>
        </w:tc>
        <w:tc>
          <w:tcPr>
            <w:tcW w:w="1776" w:type="dxa"/>
          </w:tcPr>
          <w:p w14:paraId="6D995747" w14:textId="77777777" w:rsidR="00BF70BB" w:rsidRDefault="00BF70BB" w:rsidP="00AF5922">
            <w:pPr>
              <w:spacing w:line="360" w:lineRule="exact"/>
              <w:rPr>
                <w:rFonts w:asci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cs="Times New Roman" w:hint="eastAsia"/>
                <w:color w:val="000000" w:themeColor="text1"/>
                <w:sz w:val="24"/>
              </w:rPr>
              <w:t>集合竞价</w:t>
            </w:r>
            <w:r>
              <w:rPr>
                <w:rFonts w:ascii="Times New Roman" w:eastAsia="仿宋_GB2312" w:cs="Times New Roman"/>
                <w:color w:val="000000" w:themeColor="text1"/>
                <w:sz w:val="24"/>
              </w:rPr>
              <w:t>申报</w:t>
            </w:r>
          </w:p>
        </w:tc>
        <w:tc>
          <w:tcPr>
            <w:tcW w:w="3543" w:type="dxa"/>
            <w:vMerge w:val="restart"/>
          </w:tcPr>
          <w:p w14:paraId="2EB63E2C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期权套保</w:t>
            </w:r>
          </w:p>
          <w:p w14:paraId="207BEFBC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会服投保</w:t>
            </w:r>
            <w:proofErr w:type="gramEnd"/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互换申请</w:t>
            </w:r>
          </w:p>
          <w:p w14:paraId="4DA8B94A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行权申请（套保）</w:t>
            </w:r>
          </w:p>
          <w:p w14:paraId="5CD93C59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期权对冲申请</w:t>
            </w:r>
          </w:p>
          <w:p w14:paraId="14ED14D3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套保期权行权后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履约后期货持仓对</w:t>
            </w:r>
            <w:proofErr w:type="gramStart"/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</w:rPr>
              <w:t>冲申请</w:t>
            </w:r>
            <w:proofErr w:type="gramEnd"/>
          </w:p>
        </w:tc>
      </w:tr>
      <w:tr w:rsidR="00BF70BB" w14:paraId="72A8C53F" w14:textId="77777777" w:rsidTr="00AF5922">
        <w:trPr>
          <w:jc w:val="center"/>
        </w:trPr>
        <w:tc>
          <w:tcPr>
            <w:tcW w:w="1390" w:type="dxa"/>
            <w:vAlign w:val="center"/>
          </w:tcPr>
          <w:p w14:paraId="73651D72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13:29:00</w:t>
            </w:r>
          </w:p>
        </w:tc>
        <w:tc>
          <w:tcPr>
            <w:tcW w:w="1776" w:type="dxa"/>
            <w:gridSpan w:val="2"/>
            <w:vMerge/>
          </w:tcPr>
          <w:p w14:paraId="09279B2C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776" w:type="dxa"/>
          </w:tcPr>
          <w:p w14:paraId="4F78AB18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cs="Times New Roman" w:hint="eastAsia"/>
                <w:color w:val="000000" w:themeColor="text1"/>
                <w:sz w:val="24"/>
              </w:rPr>
              <w:t>集合竞价</w:t>
            </w:r>
            <w:r>
              <w:rPr>
                <w:rFonts w:ascii="Times New Roman" w:eastAsia="仿宋_GB2312" w:cs="Times New Roman"/>
                <w:color w:val="000000" w:themeColor="text1"/>
                <w:sz w:val="24"/>
              </w:rPr>
              <w:t>撮合</w:t>
            </w:r>
          </w:p>
        </w:tc>
        <w:tc>
          <w:tcPr>
            <w:tcW w:w="3543" w:type="dxa"/>
            <w:vMerge/>
          </w:tcPr>
          <w:p w14:paraId="634895D4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F70BB" w14:paraId="55AFD86B" w14:textId="77777777" w:rsidTr="00AF5922">
        <w:trPr>
          <w:jc w:val="center"/>
        </w:trPr>
        <w:tc>
          <w:tcPr>
            <w:tcW w:w="1390" w:type="dxa"/>
            <w:vAlign w:val="center"/>
          </w:tcPr>
          <w:p w14:paraId="4FA3FCEB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13:30:00</w:t>
            </w:r>
          </w:p>
        </w:tc>
        <w:tc>
          <w:tcPr>
            <w:tcW w:w="1776" w:type="dxa"/>
            <w:gridSpan w:val="2"/>
            <w:vMerge/>
          </w:tcPr>
          <w:p w14:paraId="612AA719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776" w:type="dxa"/>
          </w:tcPr>
          <w:p w14:paraId="3C596138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cs="Times New Roman" w:hint="eastAsia"/>
                <w:color w:val="000000" w:themeColor="text1"/>
                <w:sz w:val="24"/>
              </w:rPr>
              <w:t>连续交易</w:t>
            </w:r>
          </w:p>
        </w:tc>
        <w:tc>
          <w:tcPr>
            <w:tcW w:w="3543" w:type="dxa"/>
            <w:vMerge/>
          </w:tcPr>
          <w:p w14:paraId="4BF373D7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F70BB" w14:paraId="4029C7C7" w14:textId="77777777" w:rsidTr="00AF5922">
        <w:trPr>
          <w:jc w:val="center"/>
        </w:trPr>
        <w:tc>
          <w:tcPr>
            <w:tcW w:w="1390" w:type="dxa"/>
            <w:vAlign w:val="center"/>
          </w:tcPr>
          <w:p w14:paraId="560E6E7D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15:00:00</w:t>
            </w:r>
          </w:p>
        </w:tc>
        <w:tc>
          <w:tcPr>
            <w:tcW w:w="1776" w:type="dxa"/>
            <w:gridSpan w:val="2"/>
            <w:vMerge/>
          </w:tcPr>
          <w:p w14:paraId="02B1A7A7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776" w:type="dxa"/>
          </w:tcPr>
          <w:p w14:paraId="747956E8" w14:textId="77777777" w:rsidR="00BF70BB" w:rsidRDefault="00BF70BB" w:rsidP="00AF5922">
            <w:pPr>
              <w:spacing w:line="360" w:lineRule="exact"/>
              <w:rPr>
                <w:rFonts w:asci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cs="Times New Roman" w:hint="eastAsia"/>
                <w:color w:val="000000" w:themeColor="text1"/>
                <w:sz w:val="24"/>
              </w:rPr>
              <w:t>收市</w:t>
            </w:r>
          </w:p>
        </w:tc>
        <w:tc>
          <w:tcPr>
            <w:tcW w:w="3543" w:type="dxa"/>
            <w:vMerge/>
          </w:tcPr>
          <w:p w14:paraId="6E07E6AF" w14:textId="77777777" w:rsidR="00BF70BB" w:rsidRDefault="00BF70BB" w:rsidP="00AF5922">
            <w:pPr>
              <w:spacing w:line="360" w:lineRule="exact"/>
              <w:rPr>
                <w:rFonts w:ascii="Times New Roman" w:eastAsia="仿宋_GB2312" w:cs="Times New Roman"/>
                <w:color w:val="000000" w:themeColor="text1"/>
                <w:sz w:val="24"/>
              </w:rPr>
            </w:pPr>
          </w:p>
        </w:tc>
      </w:tr>
      <w:tr w:rsidR="00BF70BB" w14:paraId="597DC970" w14:textId="77777777" w:rsidTr="00AF5922">
        <w:trPr>
          <w:jc w:val="center"/>
        </w:trPr>
        <w:tc>
          <w:tcPr>
            <w:tcW w:w="1390" w:type="dxa"/>
            <w:vAlign w:val="center"/>
          </w:tcPr>
          <w:p w14:paraId="1DE1EF0B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-1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3552" w:type="dxa"/>
            <w:gridSpan w:val="3"/>
          </w:tcPr>
          <w:p w14:paraId="7F9C32FD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cs="Times New Roman" w:hint="eastAsia"/>
                <w:color w:val="000000" w:themeColor="text1"/>
                <w:sz w:val="24"/>
              </w:rPr>
              <w:t>交易所</w:t>
            </w:r>
            <w:r>
              <w:rPr>
                <w:rFonts w:ascii="Times New Roman" w:eastAsia="仿宋_GB2312" w:cs="Times New Roman"/>
                <w:color w:val="000000" w:themeColor="text1"/>
                <w:sz w:val="24"/>
              </w:rPr>
              <w:t>结算</w:t>
            </w:r>
          </w:p>
        </w:tc>
        <w:tc>
          <w:tcPr>
            <w:tcW w:w="3543" w:type="dxa"/>
            <w:vAlign w:val="center"/>
          </w:tcPr>
          <w:p w14:paraId="265D0461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BF70BB" w14:paraId="67C0D504" w14:textId="77777777" w:rsidTr="00AF5922">
        <w:trPr>
          <w:jc w:val="center"/>
        </w:trPr>
        <w:tc>
          <w:tcPr>
            <w:tcW w:w="1390" w:type="dxa"/>
            <w:vAlign w:val="center"/>
          </w:tcPr>
          <w:p w14:paraId="49A5C379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15:30-16:00</w:t>
            </w:r>
          </w:p>
        </w:tc>
        <w:tc>
          <w:tcPr>
            <w:tcW w:w="3552" w:type="dxa"/>
            <w:gridSpan w:val="3"/>
          </w:tcPr>
          <w:p w14:paraId="7748E779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会员单位通过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指定会服地址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下载测试结算数据，请检查结算数据是否正确。</w:t>
            </w:r>
          </w:p>
        </w:tc>
        <w:tc>
          <w:tcPr>
            <w:tcW w:w="3543" w:type="dxa"/>
            <w:vAlign w:val="center"/>
          </w:tcPr>
          <w:p w14:paraId="42E50A16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http://10.93.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36.36</w:t>
            </w:r>
          </w:p>
        </w:tc>
      </w:tr>
      <w:tr w:rsidR="00BF70BB" w14:paraId="50D51768" w14:textId="77777777" w:rsidTr="00AF5922">
        <w:trPr>
          <w:jc w:val="center"/>
        </w:trPr>
        <w:tc>
          <w:tcPr>
            <w:tcW w:w="1390" w:type="dxa"/>
            <w:vAlign w:val="center"/>
          </w:tcPr>
          <w:p w14:paraId="6BB8F149" w14:textId="77777777" w:rsidR="00BF70BB" w:rsidRDefault="00BF70BB" w:rsidP="00AF59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16:30</w:t>
            </w:r>
          </w:p>
        </w:tc>
        <w:tc>
          <w:tcPr>
            <w:tcW w:w="3552" w:type="dxa"/>
            <w:gridSpan w:val="3"/>
          </w:tcPr>
          <w:p w14:paraId="310D80DF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关闭系统</w:t>
            </w:r>
          </w:p>
        </w:tc>
        <w:tc>
          <w:tcPr>
            <w:tcW w:w="3543" w:type="dxa"/>
            <w:vAlign w:val="center"/>
          </w:tcPr>
          <w:p w14:paraId="6E15AE85" w14:textId="77777777" w:rsidR="00BF70BB" w:rsidRDefault="00BF70BB" w:rsidP="00AF5922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-</w:t>
            </w:r>
          </w:p>
        </w:tc>
      </w:tr>
    </w:tbl>
    <w:p w14:paraId="19EFCA9F" w14:textId="77777777" w:rsidR="00BF70BB" w:rsidRDefault="00BF70BB" w:rsidP="00BF70BB">
      <w:pPr>
        <w:spacing w:beforeLines="100" w:before="312" w:afterLines="50" w:after="156" w:line="52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5. 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测试过程注意事项</w:t>
      </w:r>
    </w:p>
    <w:p w14:paraId="1F3D0770" w14:textId="77777777" w:rsidR="00BF70BB" w:rsidRDefault="00BF70BB" w:rsidP="00BF70BB">
      <w:pPr>
        <w:numPr>
          <w:ilvl w:val="0"/>
          <w:numId w:val="3"/>
        </w:numPr>
        <w:spacing w:line="560" w:lineRule="exact"/>
        <w:ind w:left="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请会员注意测试前后备份、清理和恢复系统日志，避免正常交易日故障，具体操作请咨询柜台系统开发商。</w:t>
      </w:r>
    </w:p>
    <w:p w14:paraId="035306B8" w14:textId="77777777" w:rsidR="00BF70BB" w:rsidRDefault="00BF70BB" w:rsidP="00BF70BB">
      <w:pPr>
        <w:numPr>
          <w:ilvl w:val="0"/>
          <w:numId w:val="3"/>
        </w:numPr>
        <w:spacing w:line="560" w:lineRule="exact"/>
        <w:ind w:left="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测试期间，要求测试人员按照测试内容及时间安排进行操作。测试结束后，认真检查结果并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通过生产环境</w:t>
      </w:r>
      <w:r>
        <w:rPr>
          <w:rFonts w:ascii="Times New Roman" w:eastAsia="仿宋_GB2312" w:hAnsi="Times New Roman" w:cs="Times New Roman"/>
          <w:sz w:val="32"/>
          <w:szCs w:val="32"/>
        </w:rPr>
        <w:t>填写测试反馈表。</w:t>
      </w:r>
    </w:p>
    <w:p w14:paraId="233568B5" w14:textId="77777777" w:rsidR="00BF70BB" w:rsidRDefault="00BF70BB" w:rsidP="00BF70BB">
      <w:pPr>
        <w:spacing w:beforeLines="100" w:before="312" w:afterLines="50" w:after="156" w:line="52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测试联系方式</w:t>
      </w:r>
    </w:p>
    <w:p w14:paraId="52FEB382" w14:textId="77777777" w:rsidR="00BF70BB" w:rsidRDefault="00BF70BB" w:rsidP="00BF70BB">
      <w:pPr>
        <w:spacing w:line="560" w:lineRule="exact"/>
        <w:ind w:left="43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）技术问题</w:t>
      </w:r>
    </w:p>
    <w:p w14:paraId="10396536" w14:textId="77777777" w:rsidR="00BF70BB" w:rsidRDefault="00BF70BB" w:rsidP="00BF70BB">
      <w:pPr>
        <w:numPr>
          <w:ilvl w:val="0"/>
          <w:numId w:val="4"/>
        </w:numPr>
        <w:spacing w:line="560" w:lineRule="exact"/>
        <w:ind w:left="405" w:firstLine="43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交易、行情、会员服务系统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、远程席位测试反馈表及</w:t>
      </w:r>
      <w:r>
        <w:rPr>
          <w:rFonts w:ascii="Times New Roman" w:eastAsia="仿宋_GB2312" w:hAnsi="Times New Roman" w:cs="Times New Roman"/>
          <w:sz w:val="32"/>
          <w:szCs w:val="32"/>
        </w:rPr>
        <w:t>网络链路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>0411-8480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7179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8556/8717</w:t>
      </w:r>
    </w:p>
    <w:p w14:paraId="04EC7A13" w14:textId="77777777" w:rsidR="00BF70BB" w:rsidRDefault="00BF70BB" w:rsidP="00BF70BB">
      <w:pPr>
        <w:widowControl/>
        <w:ind w:left="40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）业务问题</w:t>
      </w:r>
    </w:p>
    <w:p w14:paraId="7F13D9E1" w14:textId="77777777" w:rsidR="00BF70BB" w:rsidRDefault="00BF70BB" w:rsidP="00BF70BB">
      <w:pPr>
        <w:numPr>
          <w:ilvl w:val="0"/>
          <w:numId w:val="4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交易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部</w:t>
      </w:r>
    </w:p>
    <w:p w14:paraId="379A88AC" w14:textId="77777777" w:rsidR="00BF70BB" w:rsidRDefault="00BF70BB" w:rsidP="00BF70BB">
      <w:pPr>
        <w:spacing w:line="560" w:lineRule="exact"/>
        <w:ind w:left="405" w:firstLine="43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0411-84808401/8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532</w:t>
      </w:r>
    </w:p>
    <w:p w14:paraId="3E79F2BF" w14:textId="77777777" w:rsidR="00BF70BB" w:rsidRDefault="00BF70BB" w:rsidP="00BF70BB">
      <w:pPr>
        <w:numPr>
          <w:ilvl w:val="0"/>
          <w:numId w:val="4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清</w:t>
      </w:r>
      <w:r>
        <w:rPr>
          <w:rFonts w:ascii="Times New Roman" w:eastAsia="仿宋_GB2312" w:hAnsi="Times New Roman" w:cs="Times New Roman"/>
          <w:sz w:val="32"/>
          <w:szCs w:val="32"/>
        </w:rPr>
        <w:t>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部</w:t>
      </w:r>
    </w:p>
    <w:p w14:paraId="67624F11" w14:textId="77777777" w:rsidR="00BF70BB" w:rsidRDefault="00BF70BB" w:rsidP="00BF70BB">
      <w:pPr>
        <w:spacing w:line="560" w:lineRule="exact"/>
        <w:ind w:left="85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0411-84807704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/6136</w:t>
      </w:r>
    </w:p>
    <w:p w14:paraId="41803C88" w14:textId="77777777" w:rsidR="00BF70BB" w:rsidRDefault="00BF70BB" w:rsidP="00BF70BB">
      <w:pPr>
        <w:numPr>
          <w:ilvl w:val="0"/>
          <w:numId w:val="4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监察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部</w:t>
      </w:r>
    </w:p>
    <w:p w14:paraId="6F9F02D2" w14:textId="77777777" w:rsidR="00CF3723" w:rsidRDefault="00BF70BB" w:rsidP="00BF395D">
      <w:pPr>
        <w:ind w:firstLineChars="265" w:firstLine="848"/>
      </w:pPr>
      <w:r>
        <w:rPr>
          <w:rFonts w:ascii="Times New Roman" w:eastAsia="仿宋_GB2312" w:hAnsi="Times New Roman" w:cs="Times New Roman"/>
          <w:sz w:val="32"/>
          <w:szCs w:val="32"/>
        </w:rPr>
        <w:t>0411-84808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710/6483</w:t>
      </w:r>
    </w:p>
    <w:sectPr w:rsidR="00CF3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C5BD0" w14:textId="77777777" w:rsidR="00BF70BB" w:rsidRDefault="00BF70BB" w:rsidP="00BF70BB">
      <w:r>
        <w:separator/>
      </w:r>
    </w:p>
  </w:endnote>
  <w:endnote w:type="continuationSeparator" w:id="0">
    <w:p w14:paraId="59095044" w14:textId="77777777" w:rsidR="00BF70BB" w:rsidRDefault="00BF70BB" w:rsidP="00BF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897262"/>
      <w:docPartObj>
        <w:docPartGallery w:val="Page Numbers (Bottom of Page)"/>
        <w:docPartUnique/>
      </w:docPartObj>
    </w:sdtPr>
    <w:sdtEndPr/>
    <w:sdtContent>
      <w:p w14:paraId="5A5B6A20" w14:textId="6499B352" w:rsidR="00BF70BB" w:rsidRDefault="00BF70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BA9" w:rsidRPr="00E23BA9">
          <w:rPr>
            <w:noProof/>
            <w:lang w:val="zh-CN"/>
          </w:rPr>
          <w:t>5</w:t>
        </w:r>
        <w:r>
          <w:fldChar w:fldCharType="end"/>
        </w:r>
      </w:p>
    </w:sdtContent>
  </w:sdt>
  <w:p w14:paraId="00034417" w14:textId="77777777" w:rsidR="00BF70BB" w:rsidRDefault="00BF70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6ED6B" w14:textId="77777777" w:rsidR="00BF70BB" w:rsidRDefault="00BF70BB" w:rsidP="00BF70BB">
      <w:r>
        <w:separator/>
      </w:r>
    </w:p>
  </w:footnote>
  <w:footnote w:type="continuationSeparator" w:id="0">
    <w:p w14:paraId="14E8AD63" w14:textId="77777777" w:rsidR="00BF70BB" w:rsidRDefault="00BF70BB" w:rsidP="00BF7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EA3"/>
    <w:multiLevelType w:val="multilevel"/>
    <w:tmpl w:val="00085EA3"/>
    <w:lvl w:ilvl="0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119A6585"/>
    <w:multiLevelType w:val="multilevel"/>
    <w:tmpl w:val="119A6585"/>
    <w:lvl w:ilvl="0">
      <w:start w:val="1"/>
      <w:numFmt w:val="bullet"/>
      <w:lvlText w:val=""/>
      <w:lvlJc w:val="left"/>
      <w:pPr>
        <w:tabs>
          <w:tab w:val="left" w:pos="1271"/>
        </w:tabs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275"/>
        </w:tabs>
        <w:ind w:left="12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95"/>
        </w:tabs>
        <w:ind w:left="16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15"/>
        </w:tabs>
        <w:ind w:left="21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35"/>
        </w:tabs>
        <w:ind w:left="25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55"/>
        </w:tabs>
        <w:ind w:left="29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75"/>
        </w:tabs>
        <w:ind w:left="33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95"/>
        </w:tabs>
        <w:ind w:left="37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15"/>
        </w:tabs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1A4A3378"/>
    <w:multiLevelType w:val="multilevel"/>
    <w:tmpl w:val="1A4A337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C05050"/>
    <w:multiLevelType w:val="multilevel"/>
    <w:tmpl w:val="35C0505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3F"/>
    <w:rsid w:val="0017744C"/>
    <w:rsid w:val="0026563F"/>
    <w:rsid w:val="00477BDB"/>
    <w:rsid w:val="007874F6"/>
    <w:rsid w:val="008F3BDB"/>
    <w:rsid w:val="00BF395D"/>
    <w:rsid w:val="00BF70BB"/>
    <w:rsid w:val="00E2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05911"/>
  <w15:chartTrackingRefBased/>
  <w15:docId w15:val="{DEE5EB51-A968-46B5-A468-9ADB83C2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0B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70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7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70BB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F70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BF70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D987F-300E-4809-A213-C665F9214FF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4f16167e-0980-47ed-bfa9-106d2637988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D49869-28E2-477D-934D-C1EEA8691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ABDE6-9904-4B79-9220-F45818700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1119</Words>
  <Characters>1143</Characters>
  <Application>Microsoft Office Word</Application>
  <DocSecurity>0</DocSecurity>
  <Lines>114</Lines>
  <Paragraphs>75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4</cp:revision>
  <dcterms:created xsi:type="dcterms:W3CDTF">2019-03-20T06:12:00Z</dcterms:created>
  <dcterms:modified xsi:type="dcterms:W3CDTF">2019-03-20T06:15:00Z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