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widowControl/>
        <w:spacing w:line="580" w:lineRule="exac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ascii="宋体" w:hAnsi="宋体" w:eastAsia="宋体"/>
          <w:b/>
          <w:bCs/>
          <w:sz w:val="40"/>
          <w:szCs w:val="44"/>
        </w:rPr>
        <w:t>大连商品交易所期货交割注册品牌工作办法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keepNext/>
        <w:keepLines/>
        <w:spacing w:line="580" w:lineRule="exact"/>
        <w:jc w:val="center"/>
        <w:outlineLvl w:val="0"/>
        <w:rPr>
          <w:rFonts w:ascii="Times New Roman" w:hAnsi="Times New Roman" w:eastAsia="仿宋_GB2312"/>
          <w:b/>
          <w:bCs/>
          <w:kern w:val="44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44"/>
          <w:sz w:val="32"/>
          <w:szCs w:val="32"/>
        </w:rPr>
        <w:t>第一章  总则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为了规范大连商品交易所（以下简称交易所）期货注册品牌的管理，根据《大连商品交易所交割</w:t>
      </w:r>
      <w:r>
        <w:rPr>
          <w:rFonts w:hint="eastAsia" w:ascii="Times New Roman" w:hAnsi="Times New Roman" w:eastAsia="仿宋_GB2312"/>
          <w:sz w:val="32"/>
          <w:szCs w:val="32"/>
        </w:rPr>
        <w:t>管理办法</w:t>
      </w:r>
      <w:r>
        <w:rPr>
          <w:rFonts w:ascii="Times New Roman" w:hAnsi="Times New Roman" w:eastAsia="仿宋_GB2312"/>
          <w:sz w:val="32"/>
          <w:szCs w:val="32"/>
        </w:rPr>
        <w:t>》及有关规定，制定本办法。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注册品牌分为交割注册品牌和免检注册品牌。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实行交割注册品牌制度的期货合约，非交割注册品牌的商品，不得用于注册仓单。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实行免检注册品牌制度的期货合约，免检注册品牌的商品，在注册仓单时可以按照交易所的相关规定免于质量检验。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实行交割注册品牌、免检交割品牌制度的品种由交易所另行规定。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注册品牌的申请、认可、暂停、取消及日常管理等按照本办法进行，交易所、会员、客户、指定质检机构以及相关生产企业等应当遵守本办法。</w:t>
      </w:r>
    </w:p>
    <w:p>
      <w:pPr>
        <w:keepNext/>
        <w:keepLines/>
        <w:spacing w:line="580" w:lineRule="exact"/>
        <w:jc w:val="center"/>
        <w:outlineLvl w:val="0"/>
        <w:rPr>
          <w:rFonts w:ascii="Times New Roman" w:hAnsi="Times New Roman" w:eastAsia="仿宋_GB2312"/>
          <w:b/>
          <w:bCs/>
          <w:kern w:val="44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44"/>
          <w:sz w:val="32"/>
          <w:szCs w:val="32"/>
        </w:rPr>
        <w:t>第二章  品牌注册</w:t>
      </w:r>
    </w:p>
    <w:p>
      <w:pPr>
        <w:numPr>
          <w:ilvl w:val="0"/>
          <w:numId w:val="1"/>
        </w:numPr>
        <w:spacing w:line="580" w:lineRule="exact"/>
        <w:ind w:left="0"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交割注册品牌可由交易所直接认可，或由企业申请。交易所直接认可为交割注册品牌的，无须提供申请材料。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免检注册品牌必须由企业申请。</w:t>
      </w:r>
    </w:p>
    <w:p>
      <w:pPr>
        <w:numPr>
          <w:ilvl w:val="0"/>
          <w:numId w:val="1"/>
        </w:numPr>
        <w:spacing w:line="580" w:lineRule="exact"/>
        <w:ind w:left="0" w:firstLine="566" w:firstLineChars="177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注册品牌的生产企业，应当满足以下条件：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（一）从事相关商品的生产企业法人；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（二）产品的品牌拥有国家有关部门颁发的商标注册证；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（三）信誉良好，产品市场接受度较高；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（四）产品质量标准符合期货交割质量标准；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（五）有健全的质量管理体系和管理制度；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（六）产品投产达到交易所要求的年限；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（七）企业上一年度开工率及产能达到交易所要求的水平；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（八）相关商品销售区域覆盖期货合约规定的主要交割区域；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（九）交易所要求的其他条件。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上述规定第（六）、（七）款中的具体要求由交易所另行通知。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申请交割注册品牌的企业应当提供以下材料：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（一）《大连商品交易所交割注册品牌资格申请表》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（二）企业营业执照（副本）的复印件；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（三）商标注册证复印件；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（四）反映申请品牌产品外观、标识和包装情况的实物彩照，同时应注明包装方式、材料及规格、商标及标识所在部位；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（五）商品质量管理体系相关材料，包括企业质量控制制度和执行标准等质量管理文件、质量检验项目列表、主要检验设备及质量管理体系通过认证的证明材料等；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（六）立项批复、环保验收合格文件的复印件；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（七）经审计的近两个年度的企业财务会计报告；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（八）权威质检部门签发的最近一个月之内的、不少于三个批次的商品质量测试报告；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（九）企业内部近三个月的商品质量情况分析报告；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（十）业务专人授权书，业务专人不得低于2位，其中1位要求为部门负责人或以上职务；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（十一）近三年商品出厂价格数据；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（十二）由交易所指定或认可的国内五家以上用户的近期商品使用报告，商品使用报告包括用户的企业介绍、行业地位、主要产品、生产工艺、产品规格、产品技术指标、符合标准等；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（十三）1家以上会员单位出具的推荐书；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（十四）交易所要求的其他材料。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所有提供的申请资料必须使用中文，并以此为准。英文资料作为附件参考。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申请免检注册品牌的企业，应当提供以下材料：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（一）《大连商品交易所免检注册品牌资格申请表》；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（二）企业最近一个月内产品的质量指标出厂检验报告；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（三）免检注册品牌产品交割的内部控制流程，包括产品流向的追溯机制，以及交割纠纷及赔偿应急处置制度等；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（四）第六条所列（二）至（十四）项内容；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（五）交易所要求的其他材料。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所有提供的申请资料必须使用中文，并以此为准。英文资料作为附件参考。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由企业申请注册品牌的认可程序：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（一）交易所对申请企业提供的书面材料进行预审。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预审合格后，交易所指定质检机构及相关人员到申请企业实地考察，了解企业质量管理体系的认证及执行情况、商品的内在质量及商品外观、包装、计量以及工艺流程等情况。指定质检机构应当做好详细的检查记录，并填写现场检查表，提供完整的质检报告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（三）交易所根据实际情况，对提供使用意见的用户，进行实地生产和商品考察。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（四）交易所根据实际情况，就注册品牌商品的包装、质量等情况，进行问卷调查或市场抽检。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（五）交易所根据申请企业的申请材料、实地考察以及交易所了解的其他情况等，在收到申请企业完整的申请材料之日起45个工作日内，做出是否认可注册品牌的决定。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（六）成为注册品牌后，申请企业应当缴纳商品注册费，具体收费标准由交易所另行通知。免检注册品牌申请企业还应以现金、银行保函或其他交易所认可的方式作为品牌风险担保。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（七）与交易所签署注册品牌合作协议，注册品牌管理专人接受交易所相关业务培训。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由交易所直接认可为交割注册品牌的认可程序：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（一）由交易所按照第五条第一款第（一）、（二）项，通过查询国家工商管理总局网站等方式，收集企业及商标注册等相关信息。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（二）交易所按照第五条相关规定，综合考虑生产企业的产能、开工率，以及问卷调查或市场抽检等情况，做出是否认可注册品牌的决定。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交易所正式发布注册品牌认可通知，发布信息包括注册品牌的商标、生产企业名称、生产企业住所、生产企业统一社会信用代码或注册号等信息。</w:t>
      </w:r>
    </w:p>
    <w:p>
      <w:pPr>
        <w:keepNext/>
        <w:keepLines/>
        <w:spacing w:line="580" w:lineRule="exact"/>
        <w:jc w:val="center"/>
        <w:outlineLvl w:val="0"/>
        <w:rPr>
          <w:rFonts w:ascii="Times New Roman" w:hAnsi="Times New Roman" w:eastAsia="仿宋_GB2312"/>
          <w:b/>
          <w:bCs/>
          <w:kern w:val="44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44"/>
          <w:sz w:val="32"/>
          <w:szCs w:val="32"/>
        </w:rPr>
        <w:t>第三章  监督管理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交易所每两年对注册品牌商品的质量情况进行检查，对其市场接受度进行市场调查，生产企业应当予以配合。检查及调查结果作为确定该品牌能否继续成为注册品牌的依据。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质量检查费用由生产企业承担。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主动申请并取得注册品牌资格的生产企业发生下列事项之一的，应当在5个工作日内向交易所提交书面报告：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（一）企业分立、合并、更名、变更公司组织形式；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（二）企业5%以上股权发生变更或者企业实际控制人发生变化；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（三）注册品牌产品的商标、包装规格、包装标志等发生变化；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（四）企业生产经营发生重大变化；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（五）交易所规定的其他情形。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主动申请并取得注册品牌资格的生产企业发生下列情形的，交易所可以暂停其注册品牌资格：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（一）质量检查结果无法达到交易所要求的；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（二）企业未按规定向交易所通报生产、经营方面的重大变动的；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（三）发生质量纠纷，企业未能积极配合解决的；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（四）不配合交易所日常监督管理的；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（五）交易所认定的其他情况。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发生上述情形时，交易所可以责令相关企业限期整改，经整改后符合交易所要求的，交易所可以恢复其注册品牌资格。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主动申请并取得注册品牌资格的生产企业发生下列情形的，交易所可以取消其注册品牌资格：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（一）企业分立、合并、更名、变更组织形式的；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（二）商品注册商标发生转让的；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（三）整改后仍无法达到交易所要求的；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（四）生产企业发生重大亏损，可能影响其持续经营的；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（五）生产企业解散、破产的；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（六）不配合交易所日常监督管理的；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（七）交易所认定的其他情况。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指定交割仓库对申请注册仓单的注册品牌货物来源进行核对时，注册品牌生产企业应当积极配合。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由交易所直接认可的交割注册品牌发生以下情形的，交易所可暂停或取消其交割注册品牌资格：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（一）企业分立、合并、更名、变更组织形式的；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（二）商品注册商标发生转让的；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（三）生产企业发生重大亏损，可能影响其持续经营的；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（四）生产企业解散、破产的；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（五）交易所认定的其他情况。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交易所可以根据市场情况调整注册品牌、相关生产企业以及品牌升贴水，并及时向社会公布相关信息。</w:t>
      </w:r>
    </w:p>
    <w:p>
      <w:pPr>
        <w:keepNext/>
        <w:keepLines/>
        <w:spacing w:line="580" w:lineRule="exact"/>
        <w:jc w:val="center"/>
        <w:outlineLvl w:val="0"/>
        <w:rPr>
          <w:rFonts w:ascii="Times New Roman" w:hAnsi="Times New Roman" w:eastAsia="仿宋_GB2312"/>
          <w:b/>
          <w:bCs/>
          <w:kern w:val="44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44"/>
          <w:sz w:val="32"/>
          <w:szCs w:val="32"/>
        </w:rPr>
        <w:t>第四章  附则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本办法所称“以上”、“工作日内”，包括本数。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本办法解释权属于大连商品交易所。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本办法自发布之日起施行。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39781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713"/>
    <w:multiLevelType w:val="multilevel"/>
    <w:tmpl w:val="190D3713"/>
    <w:lvl w:ilvl="0" w:tentative="0">
      <w:start w:val="1"/>
      <w:numFmt w:val="chineseCountingThousand"/>
      <w:lvlText w:val="第%1条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8"/>
    <w:rsid w:val="007B1EC4"/>
    <w:rsid w:val="008A1268"/>
    <w:rsid w:val="00A2554E"/>
    <w:rsid w:val="00BC020B"/>
    <w:rsid w:val="00EF7C16"/>
    <w:rsid w:val="3E0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7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customStyle="1" w:styleId="7">
    <w:name w:val="脚注文本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648E5-5ED3-4B6C-AC64-8FF01031D31E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D0D5FCE7-7AB9-4786-B617-7F245A20A4F2}"/>
</file>

<file path=customXml/itemProps4.xml><?xml version="1.0" encoding="utf-8"?>
<ds:datastoreItem xmlns:ds="http://schemas.openxmlformats.org/officeDocument/2006/customXml" ds:itemID="{CDF7C63E-E4E7-4EA4-8C84-4D909A022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1458</Words>
  <Characters>1459</Characters>
  <Lines>97</Lines>
  <Paragraphs>97</Paragraphs>
  <TotalTime>3</TotalTime>
  <ScaleCrop>false</ScaleCrop>
  <LinksUpToDate>false</LinksUpToDate>
  <CharactersWithSpaces>2820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刘婧婧</dc:creator>
  <cp:lastModifiedBy>lenovo</cp:lastModifiedBy>
  <cp:revision>3</cp:revision>
  <dcterms:created xsi:type="dcterms:W3CDTF">2020-03-30T09:51:00Z</dcterms:created>
  <dcterms:modified xsi:type="dcterms:W3CDTF">2020-08-19T09:25:14Z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  <property fmtid="{D5CDD505-2E9C-101B-9397-08002B2CF9AE}" pid="3" name="KSOProductBuildVer">
    <vt:lpwstr>2052-11.8.2.8950</vt:lpwstr>
  </property>
</Properties>
</file>